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June 20, 2019</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F-3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Weibo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(Translation of Registrant's name into English)</w:t>
      </w:r>
    </w:p>
    <w:p>
      <w:pPr>
        <w:spacing w:after="0" w:line="180" w:lineRule="exact"/>
        <w:rPr>
          <w:sz w:val="24"/>
          <w:szCs w:val="24"/>
          <w:color w:val="auto"/>
        </w:rPr>
      </w:pPr>
    </w:p>
    <w:tbl>
      <w:tblPr>
        <w:tblLayout w:type="fixed"/>
        <w:tblInd w:w="3820" w:type="dxa"/>
        <w:tblCellMar>
          <w:top w:w="0" w:type="dxa"/>
          <w:left w:w="0" w:type="dxa"/>
          <w:bottom w:w="0" w:type="dxa"/>
          <w:right w:w="0" w:type="dxa"/>
        </w:tblCellMar>
      </w:tblPr>
      <w:tr>
        <w:trPr>
          <w:trHeight w:val="161"/>
        </w:trPr>
        <w:tc>
          <w:tcPr>
            <w:tcW w:w="2000" w:type="dxa"/>
            <w:vAlign w:val="bottom"/>
          </w:tcPr>
          <w:p>
            <w:pPr>
              <w:jc w:val="center"/>
              <w:ind w:right="252"/>
              <w:spacing w:after="0"/>
              <w:rPr>
                <w:sz w:val="20"/>
                <w:szCs w:val="20"/>
                <w:color w:val="auto"/>
              </w:rPr>
            </w:pPr>
            <w:r>
              <w:rPr>
                <w:rFonts w:ascii="Arial" w:cs="Arial" w:eastAsia="Arial" w:hAnsi="Arial"/>
                <w:sz w:val="14"/>
                <w:szCs w:val="14"/>
                <w:b w:val="1"/>
                <w:bCs w:val="1"/>
                <w:color w:val="auto"/>
                <w:w w:val="86"/>
              </w:rPr>
              <w:t>Cayman Islands</w:t>
            </w:r>
          </w:p>
        </w:tc>
        <w:tc>
          <w:tcPr>
            <w:tcW w:w="158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Not Applicable</w:t>
            </w:r>
          </w:p>
        </w:tc>
      </w:tr>
      <w:tr>
        <w:trPr>
          <w:trHeight w:val="149"/>
        </w:trPr>
        <w:tc>
          <w:tcPr>
            <w:tcW w:w="200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7"/>
              </w:rPr>
              <w:t>(State or Other Jurisdiction of</w:t>
            </w:r>
          </w:p>
        </w:tc>
        <w:tc>
          <w:tcPr>
            <w:tcW w:w="1580" w:type="dxa"/>
            <w:vAlign w:val="bottom"/>
          </w:tcPr>
          <w:p>
            <w:pPr>
              <w:jc w:val="center"/>
              <w:ind w:left="2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00" w:type="dxa"/>
            <w:vAlign w:val="bottom"/>
          </w:tcPr>
          <w:p>
            <w:pPr>
              <w:jc w:val="center"/>
              <w:ind w:right="252"/>
              <w:spacing w:after="0"/>
              <w:rPr>
                <w:sz w:val="20"/>
                <w:szCs w:val="20"/>
                <w:color w:val="auto"/>
              </w:rPr>
            </w:pPr>
            <w:r>
              <w:rPr>
                <w:rFonts w:ascii="Arial" w:cs="Arial" w:eastAsia="Arial" w:hAnsi="Arial"/>
                <w:sz w:val="14"/>
                <w:szCs w:val="14"/>
                <w:color w:val="auto"/>
                <w:w w:val="90"/>
              </w:rPr>
              <w:t>Incorporation or Organization)</w:t>
            </w:r>
          </w:p>
        </w:tc>
        <w:tc>
          <w:tcPr>
            <w:tcW w:w="1580" w:type="dxa"/>
            <w:vAlign w:val="bottom"/>
          </w:tcPr>
          <w:p>
            <w:pPr>
              <w:jc w:val="center"/>
              <w:ind w:left="252"/>
              <w:spacing w:after="0"/>
              <w:rPr>
                <w:sz w:val="20"/>
                <w:szCs w:val="20"/>
                <w:color w:val="auto"/>
              </w:rPr>
            </w:pPr>
            <w:r>
              <w:rPr>
                <w:rFonts w:ascii="Arial" w:cs="Arial" w:eastAsia="Arial" w:hAnsi="Arial"/>
                <w:sz w:val="14"/>
                <w:szCs w:val="14"/>
                <w:color w:val="auto"/>
                <w:w w:val="91"/>
              </w:rPr>
              <w:t>Identification Number)</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8/F, QIHAO Plaza, 8 Xinyuan South Road</w:t>
      </w:r>
    </w:p>
    <w:p>
      <w:pPr>
        <w:jc w:val="center"/>
        <w:ind w:right="-19"/>
        <w:spacing w:after="0" w:line="223" w:lineRule="auto"/>
        <w:rPr>
          <w:sz w:val="20"/>
          <w:szCs w:val="20"/>
          <w:color w:val="auto"/>
        </w:rPr>
      </w:pPr>
      <w:r>
        <w:rPr>
          <w:rFonts w:ascii="Arial" w:cs="Arial" w:eastAsia="Arial" w:hAnsi="Arial"/>
          <w:sz w:val="14"/>
          <w:szCs w:val="14"/>
          <w:b w:val="1"/>
          <w:bCs w:val="1"/>
          <w:color w:val="auto"/>
        </w:rPr>
        <w:t>Chaoyang District, Beijing 100027</w:t>
      </w:r>
    </w:p>
    <w:p>
      <w:pPr>
        <w:jc w:val="center"/>
        <w:ind w:right="-19"/>
        <w:spacing w:after="0" w:line="222" w:lineRule="auto"/>
        <w:rPr>
          <w:sz w:val="20"/>
          <w:szCs w:val="20"/>
          <w:color w:val="auto"/>
        </w:rPr>
      </w:pPr>
      <w:r>
        <w:rPr>
          <w:rFonts w:ascii="Arial" w:cs="Arial" w:eastAsia="Arial" w:hAnsi="Arial"/>
          <w:sz w:val="14"/>
          <w:szCs w:val="14"/>
          <w:b w:val="1"/>
          <w:bCs w:val="1"/>
          <w:color w:val="auto"/>
        </w:rPr>
        <w:t>People's Republic of China</w:t>
      </w:r>
    </w:p>
    <w:p>
      <w:pPr>
        <w:jc w:val="center"/>
        <w:ind w:right="-19"/>
        <w:spacing w:after="0" w:line="221" w:lineRule="auto"/>
        <w:rPr>
          <w:sz w:val="20"/>
          <w:szCs w:val="20"/>
          <w:color w:val="auto"/>
        </w:rPr>
      </w:pPr>
      <w:r>
        <w:rPr>
          <w:rFonts w:ascii="Arial" w:cs="Arial" w:eastAsia="Arial" w:hAnsi="Arial"/>
          <w:sz w:val="14"/>
          <w:szCs w:val="14"/>
          <w:b w:val="1"/>
          <w:bCs w:val="1"/>
          <w:color w:val="auto"/>
        </w:rPr>
        <w:t>+86 (10) 5898-3336</w:t>
      </w:r>
    </w:p>
    <w:p>
      <w:pPr>
        <w:jc w:val="center"/>
        <w:ind w:right="-19"/>
        <w:spacing w:after="0"/>
        <w:rPr>
          <w:sz w:val="20"/>
          <w:szCs w:val="20"/>
          <w:color w:val="auto"/>
        </w:rPr>
      </w:pPr>
      <w:r>
        <w:rPr>
          <w:rFonts w:ascii="Arial" w:cs="Arial" w:eastAsia="Arial" w:hAnsi="Arial"/>
          <w:sz w:val="14"/>
          <w:szCs w:val="14"/>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Puglisi &amp; Associates</w:t>
      </w:r>
    </w:p>
    <w:p>
      <w:pPr>
        <w:jc w:val="center"/>
        <w:ind w:right="-19"/>
        <w:spacing w:after="0" w:line="223" w:lineRule="auto"/>
        <w:rPr>
          <w:sz w:val="20"/>
          <w:szCs w:val="20"/>
          <w:color w:val="auto"/>
        </w:rPr>
      </w:pPr>
      <w:r>
        <w:rPr>
          <w:rFonts w:ascii="Arial" w:cs="Arial" w:eastAsia="Arial" w:hAnsi="Arial"/>
          <w:sz w:val="14"/>
          <w:szCs w:val="14"/>
          <w:b w:val="1"/>
          <w:bCs w:val="1"/>
          <w:color w:val="auto"/>
        </w:rPr>
        <w:t>850 Library Avenue, Suite 204</w:t>
      </w:r>
    </w:p>
    <w:p>
      <w:pPr>
        <w:jc w:val="center"/>
        <w:ind w:right="-19"/>
        <w:spacing w:after="0" w:line="222" w:lineRule="auto"/>
        <w:rPr>
          <w:sz w:val="20"/>
          <w:szCs w:val="20"/>
          <w:color w:val="auto"/>
        </w:rPr>
      </w:pPr>
      <w:r>
        <w:rPr>
          <w:rFonts w:ascii="Arial" w:cs="Arial" w:eastAsia="Arial" w:hAnsi="Arial"/>
          <w:sz w:val="14"/>
          <w:szCs w:val="14"/>
          <w:b w:val="1"/>
          <w:bCs w:val="1"/>
          <w:color w:val="auto"/>
        </w:rPr>
        <w:t>Newark, DE 19711</w:t>
      </w:r>
    </w:p>
    <w:p>
      <w:pPr>
        <w:jc w:val="center"/>
        <w:ind w:right="-19"/>
        <w:spacing w:after="0" w:line="221" w:lineRule="auto"/>
        <w:rPr>
          <w:sz w:val="20"/>
          <w:szCs w:val="20"/>
          <w:color w:val="auto"/>
        </w:rPr>
      </w:pPr>
      <w:r>
        <w:rPr>
          <w:rFonts w:ascii="Arial" w:cs="Arial" w:eastAsia="Arial" w:hAnsi="Arial"/>
          <w:sz w:val="14"/>
          <w:szCs w:val="14"/>
          <w:b w:val="1"/>
          <w:bCs w:val="1"/>
          <w:color w:val="auto"/>
        </w:rPr>
        <w:t>+1 (302) 738-6680</w:t>
      </w:r>
    </w:p>
    <w:p>
      <w:pPr>
        <w:jc w:val="center"/>
        <w:ind w:right="-19"/>
        <w:spacing w:after="0"/>
        <w:rPr>
          <w:sz w:val="20"/>
          <w:szCs w:val="20"/>
          <w:color w:val="auto"/>
        </w:rPr>
      </w:pPr>
      <w:r>
        <w:rPr>
          <w:rFonts w:ascii="Arial" w:cs="Arial" w:eastAsia="Arial" w:hAnsi="Arial"/>
          <w:sz w:val="14"/>
          <w:szCs w:val="14"/>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98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Fei Cao</w:t>
            </w:r>
          </w:p>
        </w:tc>
        <w:tc>
          <w:tcPr>
            <w:tcW w:w="304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w w:val="87"/>
              </w:rPr>
              <w:t>Z. Julie Gao, Esq.</w:t>
            </w:r>
          </w:p>
        </w:tc>
      </w:tr>
      <w:tr>
        <w:trPr>
          <w:trHeight w:val="149"/>
        </w:trPr>
        <w:tc>
          <w:tcPr>
            <w:tcW w:w="2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Vice President, Finance</w:t>
            </w:r>
          </w:p>
        </w:tc>
        <w:tc>
          <w:tcPr>
            <w:tcW w:w="3040" w:type="dxa"/>
            <w:vAlign w:val="bottom"/>
            <w:gridSpan w:val="2"/>
          </w:tcPr>
          <w:p>
            <w:pPr>
              <w:jc w:val="center"/>
              <w:ind w:left="512"/>
              <w:spacing w:after="0" w:line="149" w:lineRule="exact"/>
              <w:rPr>
                <w:sz w:val="20"/>
                <w:szCs w:val="20"/>
                <w:color w:val="auto"/>
              </w:rPr>
            </w:pPr>
            <w:r>
              <w:rPr>
                <w:rFonts w:ascii="Arial" w:cs="Arial" w:eastAsia="Arial" w:hAnsi="Arial"/>
                <w:sz w:val="14"/>
                <w:szCs w:val="14"/>
                <w:b w:val="1"/>
                <w:bCs w:val="1"/>
                <w:color w:val="auto"/>
                <w:w w:val="86"/>
              </w:rPr>
              <w:t>Jonathan B. Stone, Esq.</w:t>
            </w:r>
          </w:p>
        </w:tc>
      </w:tr>
      <w:tr>
        <w:trPr>
          <w:trHeight w:val="149"/>
        </w:trPr>
        <w:tc>
          <w:tcPr>
            <w:tcW w:w="2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Weibo Corporation</w:t>
            </w:r>
          </w:p>
        </w:tc>
        <w:tc>
          <w:tcPr>
            <w:tcW w:w="3040" w:type="dxa"/>
            <w:vAlign w:val="bottom"/>
            <w:gridSpan w:val="2"/>
          </w:tcPr>
          <w:p>
            <w:pPr>
              <w:jc w:val="center"/>
              <w:ind w:left="512"/>
              <w:spacing w:after="0" w:line="149" w:lineRule="exact"/>
              <w:rPr>
                <w:sz w:val="20"/>
                <w:szCs w:val="20"/>
                <w:color w:val="auto"/>
              </w:rPr>
            </w:pPr>
            <w:r>
              <w:rPr>
                <w:rFonts w:ascii="Arial" w:cs="Arial" w:eastAsia="Arial" w:hAnsi="Arial"/>
                <w:sz w:val="14"/>
                <w:szCs w:val="14"/>
                <w:b w:val="1"/>
                <w:bCs w:val="1"/>
                <w:color w:val="auto"/>
                <w:w w:val="88"/>
              </w:rPr>
              <w:t>Skadden, Arps, Slate, Meagher &amp;</w:t>
            </w:r>
          </w:p>
        </w:tc>
      </w:tr>
      <w:tr>
        <w:trPr>
          <w:trHeight w:val="149"/>
        </w:trPr>
        <w:tc>
          <w:tcPr>
            <w:tcW w:w="2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8/F, QIHAO Plaza, 8 Xinyuan South Road</w:t>
            </w:r>
          </w:p>
        </w:tc>
        <w:tc>
          <w:tcPr>
            <w:tcW w:w="3040" w:type="dxa"/>
            <w:vAlign w:val="bottom"/>
            <w:gridSpan w:val="2"/>
          </w:tcPr>
          <w:p>
            <w:pPr>
              <w:jc w:val="center"/>
              <w:ind w:left="532"/>
              <w:spacing w:after="0" w:line="149" w:lineRule="exact"/>
              <w:rPr>
                <w:sz w:val="20"/>
                <w:szCs w:val="20"/>
                <w:color w:val="auto"/>
              </w:rPr>
            </w:pPr>
            <w:r>
              <w:rPr>
                <w:rFonts w:ascii="Arial" w:cs="Arial" w:eastAsia="Arial" w:hAnsi="Arial"/>
                <w:sz w:val="14"/>
                <w:szCs w:val="14"/>
                <w:b w:val="1"/>
                <w:bCs w:val="1"/>
                <w:color w:val="auto"/>
                <w:w w:val="93"/>
              </w:rPr>
              <w:t>Flom LLP</w:t>
            </w:r>
          </w:p>
        </w:tc>
      </w:tr>
      <w:tr>
        <w:trPr>
          <w:trHeight w:val="149"/>
        </w:trPr>
        <w:tc>
          <w:tcPr>
            <w:tcW w:w="2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Chaoyang District, Beijing 100027</w:t>
            </w:r>
          </w:p>
        </w:tc>
        <w:tc>
          <w:tcPr>
            <w:tcW w:w="3040" w:type="dxa"/>
            <w:vAlign w:val="bottom"/>
            <w:gridSpan w:val="2"/>
          </w:tcPr>
          <w:p>
            <w:pPr>
              <w:jc w:val="center"/>
              <w:ind w:left="512"/>
              <w:spacing w:after="0" w:line="149" w:lineRule="exact"/>
              <w:rPr>
                <w:sz w:val="20"/>
                <w:szCs w:val="20"/>
                <w:color w:val="auto"/>
              </w:rPr>
            </w:pPr>
            <w:r>
              <w:rPr>
                <w:rFonts w:ascii="Arial" w:cs="Arial" w:eastAsia="Arial" w:hAnsi="Arial"/>
                <w:sz w:val="14"/>
                <w:szCs w:val="14"/>
                <w:b w:val="1"/>
                <w:bCs w:val="1"/>
                <w:color w:val="auto"/>
                <w:w w:val="88"/>
              </w:rPr>
              <w:t>c/o 42/F, Edinburgh Tower, The Landmark</w:t>
            </w:r>
          </w:p>
        </w:tc>
      </w:tr>
      <w:tr>
        <w:trPr>
          <w:trHeight w:val="149"/>
        </w:trPr>
        <w:tc>
          <w:tcPr>
            <w:tcW w:w="2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People's Republic of China</w:t>
            </w:r>
          </w:p>
        </w:tc>
        <w:tc>
          <w:tcPr>
            <w:tcW w:w="3040" w:type="dxa"/>
            <w:vAlign w:val="bottom"/>
            <w:gridSpan w:val="2"/>
          </w:tcPr>
          <w:p>
            <w:pPr>
              <w:jc w:val="center"/>
              <w:ind w:left="512"/>
              <w:spacing w:after="0" w:line="149" w:lineRule="exact"/>
              <w:rPr>
                <w:sz w:val="20"/>
                <w:szCs w:val="20"/>
                <w:color w:val="auto"/>
              </w:rPr>
            </w:pPr>
            <w:r>
              <w:rPr>
                <w:rFonts w:ascii="Arial" w:cs="Arial" w:eastAsia="Arial" w:hAnsi="Arial"/>
                <w:sz w:val="14"/>
                <w:szCs w:val="14"/>
                <w:b w:val="1"/>
                <w:bCs w:val="1"/>
                <w:color w:val="auto"/>
                <w:w w:val="88"/>
              </w:rPr>
              <w:t>15 Queen's Road Central</w:t>
            </w:r>
          </w:p>
        </w:tc>
      </w:tr>
      <w:tr>
        <w:trPr>
          <w:trHeight w:val="149"/>
        </w:trPr>
        <w:tc>
          <w:tcPr>
            <w:tcW w:w="2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+86 (10) 5898-3095</w:t>
            </w:r>
          </w:p>
        </w:tc>
        <w:tc>
          <w:tcPr>
            <w:tcW w:w="3040" w:type="dxa"/>
            <w:vAlign w:val="bottom"/>
            <w:gridSpan w:val="2"/>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Hong Kong</w:t>
            </w:r>
          </w:p>
        </w:tc>
      </w:tr>
      <w:tr>
        <w:trPr>
          <w:trHeight w:val="174"/>
        </w:trPr>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w w:val="87"/>
              </w:rPr>
              <w:t>+852 3740-4700</w:t>
            </w:r>
          </w:p>
        </w:tc>
      </w:tr>
      <w:tr>
        <w:trPr>
          <w:trHeight w:val="203"/>
        </w:trPr>
        <w:tc>
          <w:tcPr>
            <w:tcW w:w="13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540" w:val="left"/>
        </w:tabs>
        <w:rPr>
          <w:sz w:val="20"/>
          <w:szCs w:val="20"/>
          <w:color w:val="auto"/>
        </w:rPr>
      </w:pPr>
      <w:r>
        <w:rPr>
          <w:rFonts w:ascii="Arial" w:cs="Arial" w:eastAsia="Arial" w:hAnsi="Arial"/>
          <w:sz w:val="12"/>
          <w:szCs w:val="12"/>
          <w:color w:val="auto"/>
        </w:rPr>
        <w:t>If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02" w:lineRule="exact"/>
        <w:rPr>
          <w:sz w:val="24"/>
          <w:szCs w:val="24"/>
          <w:color w:val="auto"/>
        </w:rPr>
      </w:pPr>
    </w:p>
    <w:p>
      <w:pPr>
        <w:ind w:left="38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252"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o</w:t>
      </w:r>
    </w:p>
    <w:p>
      <w:pPr>
        <w:sectPr>
          <w:pgSz w:w="11900" w:h="16843" w:orient="portrait"/>
          <w:cols w:equalWidth="0" w:num="1">
            <w:col w:w="11420"/>
          </w:cols>
          <w:pgMar w:left="240" w:top="685" w:right="239" w:bottom="0" w:gutter="0" w:footer="0" w:header="0"/>
        </w:sectPr>
      </w:pPr>
    </w:p>
    <w:bookmarkStart w:id="1" w:name="page2"/>
    <w:bookmarkEnd w:id="1"/>
    <w:p>
      <w:pPr>
        <w:ind w:left="38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Emerging Growth Company o</w:t>
      </w:r>
    </w:p>
    <w:p>
      <w:pPr>
        <w:spacing w:after="0" w:line="204" w:lineRule="exact"/>
        <w:rPr>
          <w:sz w:val="20"/>
          <w:szCs w:val="20"/>
          <w:color w:val="auto"/>
        </w:rPr>
      </w:pPr>
    </w:p>
    <w:p>
      <w:pPr>
        <w:ind w:right="380" w:firstLine="371"/>
        <w:spacing w:after="0" w:line="239"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6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60" w:type="dxa"/>
            <w:vAlign w:val="bottom"/>
            <w:tcBorders>
              <w:top w:val="single" w:sz="8" w:color="auto"/>
              <w:bottom w:val="single" w:sz="8" w:color="auto"/>
            </w:tcBorders>
          </w:tcPr>
          <w:p>
            <w:pPr>
              <w:spacing w:after="0"/>
              <w:rPr>
                <w:sz w:val="3"/>
                <w:szCs w:val="3"/>
                <w:color w:val="auto"/>
              </w:rPr>
            </w:pPr>
          </w:p>
        </w:tc>
        <w:tc>
          <w:tcPr>
            <w:tcW w:w="39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980" w:type="dxa"/>
            <w:vAlign w:val="bottom"/>
          </w:tcPr>
          <w:p>
            <w:pPr>
              <w:jc w:val="center"/>
              <w:ind w:left="554"/>
              <w:spacing w:after="0" w:line="117" w:lineRule="exact"/>
              <w:rPr>
                <w:sz w:val="20"/>
                <w:szCs w:val="20"/>
                <w:color w:val="auto"/>
              </w:rPr>
            </w:pPr>
            <w:r>
              <w:rPr>
                <w:rFonts w:ascii="Arial" w:cs="Arial" w:eastAsia="Arial" w:hAnsi="Arial"/>
                <w:sz w:val="12"/>
                <w:szCs w:val="12"/>
                <w:b w:val="1"/>
                <w:bCs w:val="1"/>
                <w:color w:val="auto"/>
                <w:w w:val="99"/>
              </w:rPr>
              <w:t>Amount to Be Registered</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980" w:type="dxa"/>
            <w:vAlign w:val="bottom"/>
          </w:tcPr>
          <w:p>
            <w:pPr>
              <w:jc w:val="center"/>
              <w:ind w:left="554"/>
              <w:spacing w:after="0" w:line="149" w:lineRule="exact"/>
              <w:rPr>
                <w:sz w:val="20"/>
                <w:szCs w:val="20"/>
                <w:color w:val="auto"/>
              </w:rPr>
            </w:pPr>
            <w:r>
              <w:rPr>
                <w:rFonts w:ascii="Arial" w:cs="Arial" w:eastAsia="Arial" w:hAnsi="Arial"/>
                <w:sz w:val="14"/>
                <w:szCs w:val="14"/>
                <w:b w:val="1"/>
                <w:bCs w:val="1"/>
                <w:color w:val="auto"/>
                <w:w w:val="87"/>
              </w:rPr>
              <w:t>Proposed Maximum Aggregate Price Per Unit</w:t>
            </w:r>
          </w:p>
        </w:tc>
      </w:tr>
      <w:tr>
        <w:trPr>
          <w:trHeight w:val="161"/>
        </w:trPr>
        <w:tc>
          <w:tcPr>
            <w:tcW w:w="20" w:type="dxa"/>
            <w:vAlign w:val="bottom"/>
          </w:tcPr>
          <w:p>
            <w:pPr>
              <w:spacing w:after="0"/>
              <w:rPr>
                <w:sz w:val="14"/>
                <w:szCs w:val="14"/>
                <w:color w:val="auto"/>
              </w:rPr>
            </w:pPr>
          </w:p>
        </w:tc>
        <w:tc>
          <w:tcPr>
            <w:tcW w:w="4160" w:type="dxa"/>
            <w:vAlign w:val="bottom"/>
          </w:tcPr>
          <w:p>
            <w:pPr>
              <w:jc w:val="center"/>
              <w:ind w:left="372"/>
              <w:spacing w:after="0"/>
              <w:rPr>
                <w:sz w:val="20"/>
                <w:szCs w:val="20"/>
                <w:color w:val="auto"/>
              </w:rPr>
            </w:pPr>
            <w:r>
              <w:rPr>
                <w:rFonts w:ascii="Arial" w:cs="Arial" w:eastAsia="Arial" w:hAnsi="Arial"/>
                <w:sz w:val="14"/>
                <w:szCs w:val="14"/>
                <w:b w:val="1"/>
                <w:bCs w:val="1"/>
                <w:color w:val="auto"/>
                <w:w w:val="86"/>
              </w:rPr>
              <w:t>Title of Each Class of Securities</w:t>
            </w:r>
          </w:p>
        </w:tc>
        <w:tc>
          <w:tcPr>
            <w:tcW w:w="3980" w:type="dxa"/>
            <w:vAlign w:val="bottom"/>
          </w:tcPr>
          <w:p>
            <w:pPr>
              <w:jc w:val="center"/>
              <w:ind w:left="534"/>
              <w:spacing w:after="0"/>
              <w:rPr>
                <w:sz w:val="20"/>
                <w:szCs w:val="20"/>
                <w:color w:val="auto"/>
              </w:rPr>
            </w:pPr>
            <w:r>
              <w:rPr>
                <w:rFonts w:ascii="Arial" w:cs="Arial" w:eastAsia="Arial" w:hAnsi="Arial"/>
                <w:sz w:val="14"/>
                <w:szCs w:val="14"/>
                <w:b w:val="1"/>
                <w:bCs w:val="1"/>
                <w:color w:val="auto"/>
                <w:w w:val="87"/>
              </w:rPr>
              <w:t>Proposed Maximum Aggregate Offering Price</w:t>
            </w:r>
          </w:p>
        </w:tc>
      </w:tr>
      <w:tr>
        <w:trPr>
          <w:trHeight w:val="203"/>
        </w:trPr>
        <w:tc>
          <w:tcPr>
            <w:tcW w:w="20" w:type="dxa"/>
            <w:vAlign w:val="bottom"/>
          </w:tcPr>
          <w:p>
            <w:pPr>
              <w:spacing w:after="0"/>
              <w:rPr>
                <w:sz w:val="17"/>
                <w:szCs w:val="17"/>
                <w:color w:val="auto"/>
              </w:rPr>
            </w:pPr>
          </w:p>
        </w:tc>
        <w:tc>
          <w:tcPr>
            <w:tcW w:w="4160" w:type="dxa"/>
            <w:vAlign w:val="bottom"/>
            <w:tcBorders>
              <w:bottom w:val="single" w:sz="8" w:color="auto"/>
            </w:tcBorders>
          </w:tcPr>
          <w:p>
            <w:pPr>
              <w:jc w:val="center"/>
              <w:ind w:left="352"/>
              <w:spacing w:after="0"/>
              <w:rPr>
                <w:sz w:val="20"/>
                <w:szCs w:val="20"/>
                <w:color w:val="auto"/>
              </w:rPr>
            </w:pPr>
            <w:r>
              <w:rPr>
                <w:rFonts w:ascii="Arial" w:cs="Arial" w:eastAsia="Arial" w:hAnsi="Arial"/>
                <w:sz w:val="14"/>
                <w:szCs w:val="14"/>
                <w:b w:val="1"/>
                <w:bCs w:val="1"/>
                <w:color w:val="auto"/>
                <w:w w:val="84"/>
              </w:rPr>
              <w:t>to Be Registered</w:t>
            </w:r>
          </w:p>
        </w:tc>
        <w:tc>
          <w:tcPr>
            <w:tcW w:w="3980" w:type="dxa"/>
            <w:vAlign w:val="bottom"/>
            <w:tcBorders>
              <w:bottom w:val="single" w:sz="8" w:color="auto"/>
            </w:tcBorders>
          </w:tcPr>
          <w:p>
            <w:pPr>
              <w:jc w:val="center"/>
              <w:ind w:left="554"/>
              <w:spacing w:after="0" w:line="203" w:lineRule="exact"/>
              <w:rPr>
                <w:sz w:val="20"/>
                <w:szCs w:val="20"/>
                <w:color w:val="auto"/>
              </w:rPr>
            </w:pPr>
            <w:r>
              <w:rPr>
                <w:rFonts w:ascii="Arial" w:cs="Arial" w:eastAsia="Arial" w:hAnsi="Arial"/>
                <w:sz w:val="14"/>
                <w:szCs w:val="14"/>
                <w:b w:val="1"/>
                <w:bCs w:val="1"/>
                <w:color w:val="auto"/>
                <w:w w:val="85"/>
              </w:rPr>
              <w:t>Amount of Registration Fee</w:t>
            </w:r>
            <w:r>
              <w:rPr>
                <w:rFonts w:ascii="Arial" w:cs="Arial" w:eastAsia="Arial" w:hAnsi="Arial"/>
                <w:sz w:val="22"/>
                <w:szCs w:val="22"/>
                <w:b w:val="1"/>
                <w:bCs w:val="1"/>
                <w:color w:val="auto"/>
                <w:w w:val="85"/>
                <w:vertAlign w:val="superscript"/>
              </w:rPr>
              <w:t>(1)</w:t>
            </w:r>
          </w:p>
        </w:tc>
      </w:tr>
      <w:tr>
        <w:trPr>
          <w:trHeight w:val="196"/>
        </w:trPr>
        <w:tc>
          <w:tcPr>
            <w:tcW w:w="2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color w:val="auto"/>
              </w:rPr>
              <w:t>Debt Securities</w:t>
            </w:r>
            <w:r>
              <w:rPr>
                <w:rFonts w:ascii="Arial" w:cs="Arial" w:eastAsia="Arial" w:hAnsi="Arial"/>
                <w:sz w:val="22"/>
                <w:szCs w:val="22"/>
                <w:color w:val="auto"/>
                <w:vertAlign w:val="superscript"/>
              </w:rPr>
              <w:t>(1)</w:t>
            </w:r>
          </w:p>
        </w:tc>
        <w:tc>
          <w:tcPr>
            <w:tcW w:w="398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5"/>
              </w:rPr>
              <w:t>—</w:t>
            </w: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40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is registering an indeterminate amount of debt securities for offer and sale from time to time at indeterminate offering prices. In accordance with Rules 456(b) and 457(r) under the Securities Act, the registrant is deferring payment of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328930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Weibo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161290</wp:posOffset>
            </wp:positionV>
            <wp:extent cx="2015490" cy="69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154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offer and sell debt securities from time to time. This prospectus may not be used to consummate any sales of securities unless accompanied by a prospectus supplement that will describe the method and terms of the offering. We will provide the specific terms of any offering and the offered securities in one or more supplements to this prospectus. Any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107315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40" w:firstLine="351"/>
        <w:spacing w:after="0" w:line="243" w:lineRule="auto"/>
        <w:rPr>
          <w:sz w:val="20"/>
          <w:szCs w:val="20"/>
          <w:color w:val="auto"/>
        </w:rPr>
      </w:pPr>
      <w:r>
        <w:rPr>
          <w:rFonts w:ascii="Arial" w:cs="Arial" w:eastAsia="Arial" w:hAnsi="Arial"/>
          <w:sz w:val="22"/>
          <w:szCs w:val="22"/>
          <w:b w:val="1"/>
          <w:bCs w:val="1"/>
          <w:color w:val="auto"/>
        </w:rPr>
        <w:t>Investing in our securities involves risks. You should carefully consider the risks described under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in this prospectus, in any accompanying prospectus supplement, or in the documents incorporated by reference in this prospectus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129540</wp:posOffset>
            </wp:positionV>
            <wp:extent cx="1895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may offer and sell these debt securities to or through one or more agents, underwriters, dealers, or other third parties or directly to one or more purchasers on a continuous or delayed basis. The names of any underwriters will be stated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93980</wp:posOffset>
            </wp:positionV>
            <wp:extent cx="1895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1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96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9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860" w:type="dxa"/>
            <w:vAlign w:val="bottom"/>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OUR COMPANY</w:t>
              </w:r>
            </w:hyperlink>
          </w:p>
        </w:tc>
        <w:tc>
          <w:tcPr>
            <w:tcW w:w="6100" w:type="dxa"/>
            <w:vAlign w:val="bottom"/>
            <w:gridSpan w:val="6"/>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RISK FACTORS</w:t>
              </w:r>
            </w:hyperlink>
          </w:p>
        </w:tc>
        <w:tc>
          <w:tcPr>
            <w:tcW w:w="7740" w:type="dxa"/>
            <w:vAlign w:val="bottom"/>
            <w:gridSpan w:val="11"/>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5"/>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USE OF PROCEEDS</w:t>
              </w:r>
            </w:hyperlink>
          </w:p>
        </w:tc>
        <w:tc>
          <w:tcPr>
            <w:tcW w:w="7400" w:type="dxa"/>
            <w:vAlign w:val="bottom"/>
            <w:gridSpan w:val="9"/>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60" w:type="dxa"/>
            <w:vAlign w:val="bottom"/>
            <w:gridSpan w:val="9"/>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DESCRIPTION OF DEBT SECURITIES</w:t>
              </w:r>
            </w:hyperlink>
          </w:p>
        </w:tc>
        <w:tc>
          <w:tcPr>
            <w:tcW w:w="6000" w:type="dxa"/>
            <w:vAlign w:val="bottom"/>
            <w:gridSpan w:val="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960" w:type="dxa"/>
            <w:vAlign w:val="bottom"/>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OWNERSHIP OF DEBT SECURITIES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r>
      <w:tr>
        <w:trPr>
          <w:trHeight w:val="196"/>
        </w:trPr>
        <w:tc>
          <w:tcPr>
            <w:tcW w:w="11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ENFORCEABILITY OF CIVIL LIABILITIES</w:t>
              </w:r>
            </w:hyperlink>
          </w:p>
        </w:tc>
        <w:tc>
          <w:tcPr>
            <w:tcW w:w="120" w:type="dxa"/>
            <w:vAlign w:val="bottom"/>
            <w:tcBorders>
              <w:top w:val="single" w:sz="8" w:color="0000EE"/>
            </w:tcBorders>
          </w:tcPr>
          <w:p>
            <w:pPr>
              <w:spacing w:after="0"/>
              <w:rPr>
                <w:sz w:val="17"/>
                <w:szCs w:val="17"/>
                <w:color w:val="auto"/>
              </w:rPr>
            </w:pPr>
          </w:p>
        </w:tc>
        <w:tc>
          <w:tcPr>
            <w:tcW w:w="550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196"/>
        </w:trPr>
        <w:tc>
          <w:tcPr>
            <w:tcW w:w="1140" w:type="dxa"/>
            <w:vAlign w:val="bottom"/>
          </w:tcPr>
          <w:p>
            <w:pPr>
              <w:spacing w:after="0"/>
              <w:rPr>
                <w:sz w:val="17"/>
                <w:szCs w:val="17"/>
                <w:color w:val="auto"/>
              </w:rPr>
            </w:pPr>
          </w:p>
        </w:tc>
        <w:tc>
          <w:tcPr>
            <w:tcW w:w="896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PLAN OF DISTRIBUTION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6960" w:type="dxa"/>
            <w:vAlign w:val="bottom"/>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540" w:type="dxa"/>
            <w:vAlign w:val="bottom"/>
            <w:gridSpan w:val="10"/>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r>
      <w:tr>
        <w:trPr>
          <w:trHeight w:val="196"/>
        </w:trPr>
        <w:tc>
          <w:tcPr>
            <w:tcW w:w="1140" w:type="dxa"/>
            <w:vAlign w:val="bottom"/>
          </w:tcPr>
          <w:p>
            <w:pPr>
              <w:spacing w:after="0"/>
              <w:rPr>
                <w:sz w:val="17"/>
                <w:szCs w:val="17"/>
                <w:color w:val="auto"/>
              </w:rPr>
            </w:pPr>
          </w:p>
        </w:tc>
        <w:tc>
          <w:tcPr>
            <w:tcW w:w="37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WHERE YOU CAN FIND MORE INFORMATION</w:t>
              </w:r>
            </w:hyperlink>
          </w:p>
        </w:tc>
        <w:tc>
          <w:tcPr>
            <w:tcW w:w="52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r>
      <w:tr>
        <w:trPr>
          <w:trHeight w:val="196"/>
        </w:trPr>
        <w:tc>
          <w:tcPr>
            <w:tcW w:w="1140" w:type="dxa"/>
            <w:vAlign w:val="bottom"/>
          </w:tcPr>
          <w:p>
            <w:pPr>
              <w:spacing w:after="0"/>
              <w:rPr>
                <w:sz w:val="17"/>
                <w:szCs w:val="17"/>
                <w:color w:val="auto"/>
              </w:rPr>
            </w:pPr>
          </w:p>
        </w:tc>
        <w:tc>
          <w:tcPr>
            <w:tcW w:w="89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INCORPORATION OF CERTAIN DOCUMENTS BY REFERENCE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 this prospectus and any prospectus supplement or in any free writing prospectus is accurate as of any date other than the respective dates thereof.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08" w:right="5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an automatic "shelf" registration process. Under this automatic shelf registration process, we may offer and sell the debt securities described in this prospectus in one or more offerings. This prospectus provides you with a general description of the debt securities we may offer. Each time we use this prospectus to offer debt securities, we will provide one or more prospectus supplements that will contain specific information about the offering and the terms of those debt securities. We may also add, update, or change other information contained in this prospectus by means of a prospectus supplement or by incorporating by reference information we file with the SEC. The registration statement on file with the SEC includes exhibits that provide more detail on the matters discussed in this prospectus. If there is any inconsistency between the information in this prospectus and any applicable prospectus supplement, you should rely on the information in the applicable prospectus supplement. Before you invest in any securities offered by this prospectus, you should read this prospectus, any related prospectus supplements, and the related exhibits to the registration statement filed with the SEC, together with the additional information described under the headings "Where You Can Find More Information" and "Incorporation of Certain Documents by Reference."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239" w:lineRule="exact"/>
        <w:rPr>
          <w:sz w:val="20"/>
          <w:szCs w:val="20"/>
          <w:color w:val="auto"/>
        </w:rPr>
      </w:pPr>
    </w:p>
    <w:p>
      <w:pPr>
        <w:ind w:left="1080" w:right="1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"us," "our company," or "our" refer to Weibo Corporation, a Cayman Islands company, its subsidiaries, and, in the context of describing its operations and consolidated financial information, include its consolidated variable interest entities ("VIEs") in China;</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"Weibo" refers to our social media platform and the products and services that we provide to users, customers, and platform partners through that platform;</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Hong Kong Special Administrative Region, the Macau Special Administrative Region and Taiwan;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"Renminbi" or "RMB" refers to the legal currency of China and "U.S. dollars" or "US$" refers to the legal currency of the United States.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discrepancies in any table between the amounts identified as total amounts and the sum of the amounts listed therein are due to rounding.</w:t>
      </w:r>
    </w:p>
    <w:p>
      <w:pPr>
        <w:spacing w:after="0" w:line="24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References in any prospectus supplement to "the accompanying prospectus" are to this prospectus and to "the prospectus" are to this prospectus and the applicable prospectus supplement taken together.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the securities in any jurisdiction where the offer or sale is not permitted.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This prospectus and the documents incorporated by reference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w:t>
      </w:r>
    </w:p>
    <w:p>
      <w:pPr>
        <w:spacing w:after="0" w:line="212"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results of operations, and other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proposed use of proceeds from the sale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users and customers and generate revenue and profit from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personnel and attract new talent;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social media, social networking, online marketing, and other businesses in which we engage;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our annual PFIC evaluations;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ongoing or any future litigation or arbitration, including those relating to intellectual property rights; and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PRC governmental regulations and policies relating to the internet, media, internet content providers, online marketing, and the implementation of a corporate structure involving VIEs in China.</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forward-looking statements included in this prospectus, the documents incorporated by reference herein and any prospectus supplement are subject to risks, uncertainties, and assumptions about our company. Our actual results of operations may differ materially from the forward-looking statements as a result of the risk factors disclosed in this prospectus, in the documents incorporated by reference herein, or in any accompanying prospectus supplement.</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would like to caution you not to place undue reliance on these forward-looking statements and you should read these statements in conjunction with the risk factors disclosed herein, in the documents incorporated by reference herein, and in any accompanying prospectus supplement for a more complete discussion of the risks of an investment in our securities.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Weibo is a leading social media platform for people to create, distribute, and discover content. It provides an unprecedented and simple way for people and organizations to publicly express themselves in real time, interact with others on a massive global platform, and stay connected with the world.</w:t>
      </w:r>
    </w:p>
    <w:p>
      <w:pPr>
        <w:spacing w:after="0" w:line="13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Weibo combines the means of public self-expression in real time with a powerful platform for social interaction, content aggregation, and content distribution. Any user can create and post a feed and attach multimedia or long-form content. User relationships on Weibo may be asymmetric; any user can follow any other user and add comments to a feed while reposting. The simple, asymmetric, and distributed nature of Weibo allows an original feed to become a live viral conversation stream.</w:t>
      </w:r>
    </w:p>
    <w:p>
      <w:pPr>
        <w:spacing w:after="0" w:line="197"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Weibo serves a wide range of users including ordinary people, celebrities, and other public figures, as well as media outlets, businesses, government agencies, charities, and other organizations, making it a microcosm of Chinese society. For many people in China, Weibo allows them to be heard publicly and exposed to the rich ideas, cultures, and experiences of the broader world.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to users, Weibo's ecosystem includes customers and platform partners:</w:t>
      </w:r>
    </w:p>
    <w:p>
      <w:pPr>
        <w:spacing w:after="0" w:line="239" w:lineRule="exact"/>
        <w:rPr>
          <w:sz w:val="20"/>
          <w:szCs w:val="20"/>
          <w:color w:val="auto"/>
        </w:rPr>
      </w:pPr>
    </w:p>
    <w:p>
      <w:pPr>
        <w:ind w:left="1080" w:right="180" w:hanging="532"/>
        <w:spacing w:after="0" w:line="294"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We enable our advertising and marketing customers to promote their brands, products, and services to our users. We offer a wide</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advertising and marketing solutions to customers ranging from large companies to small and medium-sized enterprises, or SMEs, including social display advertisement and promoted marketing offerings. Our native promoted marketing offerings allow customers to reach a targeted audience based on the social interest graph, or SIG, of our users. In addition, our customers can benefit from the potential viral effect of their promoted feeds generated from the public and distributed nature of our platform, commonly known as "earned media."</w:t>
      </w:r>
    </w:p>
    <w:p>
      <w:pPr>
        <w:spacing w:after="0" w:line="196"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Platform Partners. </w:t>
      </w:r>
      <w:r>
        <w:rPr>
          <w:rFonts w:ascii="Arial" w:cs="Arial" w:eastAsia="Arial" w:hAnsi="Arial"/>
          <w:sz w:val="18"/>
          <w:szCs w:val="18"/>
          <w:color w:val="auto"/>
        </w:rPr>
        <w:t>We have attracted a large number of platform partners, including organizations with media rights, multi-channel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self-medias, and app developers. Our platform partners contribute a vast amount of content to Weibo, broadly distribute Weibo content across their properties and integrate products and applications with our platform, enriching the experience of our users while increasing our monetization opportunities.</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While we distinguish among users, customers, and platform partners in classifying our products and analyzing our revenues, the same person or organization may simultaneously be included in two or more of the categories.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began monetization on our platform in 2012, and we have since experienced rapid revenue growth. Our revenues increased from US$655.8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2016 to US$1,150.1 million in 2017, and further to US$1,718.5 million in 2018, representing a compound annual growth rate, or CAGR, of 62%. Our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2019 was US$399.2 million, compared to US$349.9 million for the three months ended March 31, 2018. We generate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revenues primarily from customers who purchase advertising and marketing services, and, to a lesser extent, from fee-based revenues, such as VIP membership.</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2018 and the three months ended March 31, 2019, revenues generated from advertising and marketing services accounted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87% and 85% of our total revenues, respectively. In addition, our net income attributable to Weibo increased significantly from US$108.0 million in 2016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US$352.6 million in 2017, and further to US$571.8 million in 2018. Our net income attributable to Weibo for the three months ended March 31, 2019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US$150.4 million, an increase of 52% compared to US$99.1 million for the three months ended March 31, 2018. For the year ended December 31, 2018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2019, we had US$488.0 million and US$80.8 million net cash from operating activities, respectively. 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March 31, 2019, we held an aggregate of US$1,493.2 million of cash and cash equivalents and short-term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Our company was incorporated under the laws of the Cayman Islands in 2010. Our American depositary shares, each representing one Class A ordinary share, par value US$0.00025 per share, of our company, currently trade on the Nasdaq Global Select Market under the symbol "WB."</w:t>
      </w:r>
    </w:p>
    <w:p>
      <w:pPr>
        <w:spacing w:after="0" w:line="139"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 xml:space="preserve">Our principal executive offices are located at 8/F, QIHAO Plaza, 8 Xinyuan South Road, Chaoyang District, Beijing 100027, People's Republic of China. Our telephone number at this address is +86 (10) 5898-3336. We have appointed Puglisi &amp; Associates, which is located at 850 Library Avenue, Suite 204, Newark, DE 19711, as our agent upon whom process may be served in any action brought against us under the securities laws of the United States in connection with this offering. Our corporate website is </w:t>
      </w:r>
      <w:r>
        <w:rPr>
          <w:rFonts w:ascii="Arial" w:cs="Arial" w:eastAsia="Arial" w:hAnsi="Arial"/>
          <w:sz w:val="15"/>
          <w:szCs w:val="15"/>
          <w:i w:val="1"/>
          <w:iCs w:val="1"/>
          <w:color w:val="auto"/>
        </w:rPr>
        <w:t>www.weibo.com</w:t>
      </w:r>
      <w:r>
        <w:rPr>
          <w:rFonts w:ascii="Arial" w:cs="Arial" w:eastAsia="Arial" w:hAnsi="Arial"/>
          <w:sz w:val="15"/>
          <w:szCs w:val="15"/>
          <w:color w:val="auto"/>
        </w:rPr>
        <w:t>. Information appearing on our website is not incorporated by reference into this prospectus.</w:t>
      </w:r>
    </w:p>
    <w:p>
      <w:pPr>
        <w:spacing w:after="0" w:line="152" w:lineRule="exact"/>
        <w:rPr>
          <w:sz w:val="20"/>
          <w:szCs w:val="20"/>
          <w:color w:val="auto"/>
        </w:rPr>
      </w:pPr>
    </w:p>
    <w:p>
      <w:pPr>
        <w:jc w:val="both"/>
        <w:ind w:firstLine="341"/>
        <w:spacing w:after="0" w:line="259" w:lineRule="auto"/>
        <w:rPr>
          <w:rFonts w:ascii="Arial" w:cs="Arial" w:eastAsia="Arial" w:hAnsi="Arial"/>
          <w:sz w:val="18"/>
          <w:szCs w:val="18"/>
          <w:color w:val="0000EE"/>
        </w:rPr>
      </w:pPr>
      <w:hyperlink r:id="rId29">
        <w:r>
          <w:rPr>
            <w:rFonts w:ascii="Arial" w:cs="Arial" w:eastAsia="Arial" w:hAnsi="Arial"/>
            <w:sz w:val="18"/>
            <w:szCs w:val="18"/>
            <w:color w:val="auto"/>
          </w:rPr>
          <w:t xml:space="preserve">Additional information with respect to our company is included in the documents incorporated by reference in this prospectus, including our </w:t>
        </w:r>
        <w:r>
          <w:rPr>
            <w:rFonts w:ascii="Arial" w:cs="Arial" w:eastAsia="Arial" w:hAnsi="Arial"/>
            <w:sz w:val="18"/>
            <w:szCs w:val="18"/>
            <w:u w:val="single" w:color="auto"/>
            <w:color w:val="0000EE"/>
          </w:rPr>
          <w:t>annual report on</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Form 20-F for our fiscal year ended December 31, 2018, originally filed with the SEC on April 29, 2019.</w:t>
        </w:r>
        <w:r>
          <w:rPr>
            <w:rFonts w:ascii="Arial" w:cs="Arial" w:eastAsia="Arial" w:hAnsi="Arial"/>
            <w:sz w:val="18"/>
            <w:szCs w:val="18"/>
            <w:color w:val="0000EE"/>
          </w:rPr>
          <w:t xml:space="preserve"> </w:t>
        </w:r>
        <w:r>
          <w:rPr>
            <w:rFonts w:ascii="Arial" w:cs="Arial" w:eastAsia="Arial" w:hAnsi="Arial"/>
            <w:sz w:val="18"/>
            <w:szCs w:val="18"/>
            <w:color w:val="000000"/>
          </w:rPr>
          <w:t>See "Incorporation of Certain Documents by Reference"</w:t>
        </w:r>
      </w:hyperlink>
      <w:r>
        <w:rPr>
          <w:rFonts w:ascii="Arial" w:cs="Arial" w:eastAsia="Arial" w:hAnsi="Arial"/>
          <w:sz w:val="18"/>
          <w:szCs w:val="18"/>
          <w:color w:val="0000EE"/>
        </w:rPr>
        <w:t xml:space="preserve"> </w:t>
      </w:r>
      <w:r>
        <w:rPr>
          <w:rFonts w:ascii="Arial" w:cs="Arial" w:eastAsia="Arial" w:hAnsi="Arial"/>
          <w:sz w:val="18"/>
          <w:szCs w:val="18"/>
          <w:color w:val="000000"/>
        </w:rPr>
        <w:t>in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Investing in our debt securities involves risk. Before you decide to buy our debt securities, you should carefully consider the risks described in our most recent annual report on Form 20-F, which is incorporated by reference in this prospectus, as well as the risks that are described in the applicable prospectus supplement and in other documents incorporated by reference in this prospectus. If any of these risks actually occur, our business, financial condition, and results of operations could suffer, and you may lose all or part of your investment.</w:t>
      </w:r>
    </w:p>
    <w:p>
      <w:pPr>
        <w:spacing w:after="0" w:line="197"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Please see "Where You Can Find More Information" and "Incorporation of Certain Documents by Reference," beginning on page 32, for information on where you can find the documents we have filed with or furnished to the SEC and which are incorporated by reference in this prospectus.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Except as may be described otherwise in an accompanying prospectus supplement, we intend to use the net proceeds from the sale of the debt securities for general corporate purposes.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is a summary of certain general terms and provisions of the debt securities and the indenture, but they are not complete and are subject to, and are qualified in their entirety by reference to, all of the provisions of the indenture, which has been filed as an exhibit to the registration statement of which this prospectus is a part, including the definitions of specified terms used in the indenture, and to the Trust Indenture Act of 1939, as amended, or the "Trust Indenture Act." The particular terms of the debt securities offered by any prospectus supplement and the extent these general provisions may apply to the debt securities will be described in the applicable prospectus supplement. The terms of the debt securities will include those set forth in the indenture, any related documents and those made a part of the indenture by the Trust Indenture Act. You should read the summary below, the applicable prospectus supplement and the provisions of the indenture and any related documents before investing in our debt securities.</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prospectus supplement relating to any series of debt securities that we may offer will contain the specific terms of the debt securities. These terms may include the following:</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any limit on the aggregate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secured or unsecured;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 and, if subordinated, the terms of such subordination;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or percentages of principal amount at which such debt securities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rate(s) or the method for determining the interest rate(s);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record dates for the determination of holders to whom interest is payable or the method for determining such 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the debt securities may be issued, the maturity date and other dates of payment of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authorized denominations if other than denominations of $2,000 and multiples of $1,000 in excess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debt securities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such debt securities will be issued in whole or in part in the form of one or more global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identity of the depositary for global securities;</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the defeasance of the particular debt securities being issued in whole or in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satisfaction and discharge;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debt securities;</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such debt securities will be payable;</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the purchaser of the debt securities can select the payment currency;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securities exchange(s) or automated quotation system(s) on which the securities will be listed or admitted to trading, as applicable, if any;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provisions relating to the modification of the indenture both with and without the consent of holders of debt securities issued under the indenture;</w:t>
      </w:r>
    </w:p>
    <w:p>
      <w:pPr>
        <w:spacing w:after="0" w:line="26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or places where we may pay principal, premium, if any, and interest and where holders may present the debt securities for registration of transfer, exchange or conversion;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or places where notices and demands relating to the debt securities and the indentures may be made;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other than the principal amount of the debt securities, the portion of the principal amount of the debt securities that is payable upon declaration of acceleration of maturity;</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index or formula used to determine the amount of payments of principal of, premium (if any) or interest on the debt securities and the method of determining these amounts;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relating to compensation and reimbursement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of the debt securities upon the occurrence of specified events;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 except as permitted by the terms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may sell the debt securities, including original issue discount securities, at par or at greater than de minimis discount below their stated principal amount. Unless we inform you otherwise in a prospectus supplement, we may issue additional debt securities of a particular series without the consent of the holders of the debt securities of such series outstanding at the time of issuance. Any such additional debt securities, together with all other outstanding debt securities of that series, will constitute a single series of debt securities under the indenture. Such additional debt securities will have the same terms and conditions as the applicable series of debt securities in all respects (or in all respects except for the issue date, the issue price, the first date for accrual of interest or the first payment of interest), and will vote together as one class on all matters with respect to such series of debt securities. We shall not issue any additional debt securities with the same CUSIP, ISIN or other identifying number as the debt securities of that series issued hereunder unless the additional debt securities are fungible with such debt securities for U.S. federal income tax purposes. In addition, we will describe in the applicable prospectus supplement material U.S. federal tax considerations and any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other special considerations for any debt securities we sell which are denominated in a currency or currency unit other than U.S. dollars. Unless we inform you otherwise in the applicable prospectus supplement, the debt securities will not be listed on any securities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debt securities will be issued, unless otherwise indicated in the applicable prospectus supplement, in fully registered form without interest coupons and in minimum denominations of US$2,000 and integral multiples of US$1,000 in excess thereof.</w:t>
      </w:r>
    </w:p>
    <w:p>
      <w:pPr>
        <w:spacing w:after="0" w:line="186" w:lineRule="exact"/>
        <w:rPr>
          <w:sz w:val="20"/>
          <w:szCs w:val="20"/>
          <w:color w:val="auto"/>
        </w:rPr>
      </w:pPr>
    </w:p>
    <w:p>
      <w:pPr>
        <w:ind w:right="40" w:firstLine="345"/>
        <w:spacing w:after="0" w:line="256" w:lineRule="auto"/>
        <w:rPr>
          <w:sz w:val="20"/>
          <w:szCs w:val="20"/>
          <w:color w:val="auto"/>
        </w:rPr>
      </w:pPr>
      <w:r>
        <w:rPr>
          <w:rFonts w:ascii="Arial" w:cs="Arial" w:eastAsia="Arial" w:hAnsi="Arial"/>
          <w:sz w:val="18"/>
          <w:szCs w:val="18"/>
          <w:color w:val="auto"/>
        </w:rPr>
        <w:t>You may exchange or transfer your registered debt securities at the office of the trustee. The trustee acts as our agent for registering debt securities in the names of holders and transferring registered debt securities. The entity performing the role of maintaining the list of registered holders is called the "registrar." It will also register transfers of the registered debt securities. We may also arrange for additional registrars, and may change registrars. We may also choose to act as our own registrar.</w:t>
      </w:r>
    </w:p>
    <w:p>
      <w:pPr>
        <w:spacing w:after="0" w:line="197" w:lineRule="exact"/>
        <w:rPr>
          <w:sz w:val="20"/>
          <w:szCs w:val="20"/>
          <w:color w:val="auto"/>
        </w:rPr>
      </w:pPr>
    </w:p>
    <w:p>
      <w:pPr>
        <w:ind w:right="100" w:firstLine="345"/>
        <w:spacing w:after="0" w:line="306" w:lineRule="auto"/>
        <w:rPr>
          <w:sz w:val="20"/>
          <w:szCs w:val="20"/>
          <w:color w:val="auto"/>
        </w:rPr>
      </w:pPr>
      <w:r>
        <w:rPr>
          <w:rFonts w:ascii="Arial" w:cs="Arial" w:eastAsia="Arial" w:hAnsi="Arial"/>
          <w:sz w:val="16"/>
          <w:szCs w:val="16"/>
          <w:color w:val="auto"/>
        </w:rPr>
        <w:t>You will not be required to pay a service charge for any registration of transfer or exchange of debt securities, but you may be required to pay any tax or other governmental charge associated with the registration of transfer or exchange. The registration of transfer or exchange of a registered debt security will only be made if you have duly endorsed the debt security or provided the registrar with a written instrument of transfer satisfactory in form to the registrar.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your debt securities are in definitive registered form, we will pay interest to you if you are listed in the paying agent's records as a direct holder at the close of business on a particular day in advance of each due date for interest, even if you no longer own the debt securities on the interest due date. That particular day is called the "record date" and will be stated in the applicable prospectus supplement.</w:t>
      </w:r>
    </w:p>
    <w:p>
      <w:pPr>
        <w:spacing w:after="0" w:line="19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will pay interest, principal, additional amounts and any other money due on global registered debt securities pursuant to the applicable procedures of the depositary or, if the debt securities are not in global form, at offices maintained for that purpose in New York, New York. These offices are called "paying agents." We may also choose to pay interest by mailing checks. We may also arrange for additional payment agents, and may change these agents, including our use of the paying agent's specified office. We may also choose to act as our own paying agent.</w:t>
      </w:r>
    </w:p>
    <w:p>
      <w:pPr>
        <w:spacing w:after="0" w:line="16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Regardless of who acts as paying agent, all money that we pay as principal, premium or interest to a paying agent, or then held by us in trust, that remains unclaimed at the end of two years after the amount is due to direct holders will be repaid to us, or if then held by us, discharged from trust. After that two-year period, direct holders may look only to us for payment and not to the trustee, any other paying agent or anyone else.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Street name and other indirect holders should consult their banks or brokers for information on how they will receive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31"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All payments of principal, premium and interest made by us in respect of any debt security will be made without withholding or deduction for, or on account of, any present or future taxes, duties, assessments or governmental charges of whatever nature (including any penalties and interest related thereto) ("Taxes") imposed or levied by or within the Cayman Islands, Hong Kong, China or any jurisdiction where we are organized or otherwise considered by a taxing authority to be a resident for tax purposes or through which a payment in respect of a debt security is made (in each case, including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any political subdivision or any authority therein or thereof having power to tax) (each, a "Relevant Jurisdiction"), unless such withholding or deduction of such Taxes is required by law. If we are required to make such withholding or deduction, we will pay such additional amounts ("Additional Amounts") as will result in receipt by each holder or beneficial owner of any debt security of such amounts as would have been received by such holder or beneficial owner had no such withholding or deduction of such Taxes been required, except that no such Additional Amounts shall be payable:</w:t>
      </w:r>
    </w:p>
    <w:p>
      <w:pPr>
        <w:spacing w:after="0" w:line="180" w:lineRule="exact"/>
        <w:rPr>
          <w:sz w:val="20"/>
          <w:szCs w:val="20"/>
          <w:color w:val="auto"/>
        </w:rPr>
      </w:pPr>
    </w:p>
    <w:p>
      <w:pPr>
        <w:ind w:left="1080" w:right="12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respect of any such Taxes that would not have been imposed, deducted or withheld but for the existence of any connection (whether present or former) between the holder or beneficial owner of a debt security and the Relevant Jurisdiction other than merely holding such debt security or receiving principal, premium (if any) or interest, or enforcing its rights, in respect thereof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spacing w:after="0" w:line="196"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respect of any debt security presented for payment (where presentation is required) more than 30 days after the relevant date, except to the extent that the holder thereof would have been entitled to such Additional Amounts on presenting the same for payment on the last day of such 30-day period. For this purpose, the "relevant date" in relation to any debt security means the later of (a) the due date for such payment or (b) the date such payment was made or duly provided for;</w:t>
      </w:r>
    </w:p>
    <w:p>
      <w:pPr>
        <w:spacing w:after="0" w:line="210"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respect of any Taxes that would not have been imposed, deducted or withheld but for a failure of the holder or beneficial owner of a debt security to comply with a timely request by us addressed to the holder or beneficial owner to provide information concerning such holder's or beneficial owner's nationality, residence, identity or connection with any Relevant Jurisdiction, if and to the extent that due and timely compliance with such request is required under the tax laws of such jurisdiction in order to reduce or eliminate any withholding or deduction as to which Additional Amounts would have otherwise been payable to such holder or beneficial owner;</w:t>
      </w:r>
    </w:p>
    <w:p>
      <w:pPr>
        <w:spacing w:after="0" w:line="183"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respect of any Taxes imposed as a result of a debt security being presented for payment (where presentation is required) in the Relevant Jurisdiction, unless such debt security could not have been presented for payment elsewhere;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respect of any estate, inheritance, gift, sales, transfer, personal property or similar Taxes;</w:t>
      </w:r>
    </w:p>
    <w:p>
      <w:pPr>
        <w:spacing w:after="0" w:line="238"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any holder of a debt security that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0"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 respect to any withholding or deduction that is imposed in connection with Sections 1471-1474 of the U.S. Internal Revenue Code and U.S. Treasury regulations thereunder ("FATCA"), any intergovernmental agreement between the United States and any other jurisdiction implementing or relating to FATCA or any non-U.S. law, regulation or guidance enacted or issued with respect thereto;</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respect of any such Taxes payable otherwise than by deduction or withholding from payments under or with respect to any debt security; or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respect of any combination of Taxes referred to in the preceding items (i) through (viii) above.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any Taxes are deducted or withheld from payments of principal of, premium (if any) or interest on any debt securities, we will furnish to the trustee, within 30 days after the date the payment of such Taxes is due pursuant to applicable law, either certified copies of tax receipts evidencing such payment or, if such receipts are not obtainable, other evidence of payments reasonably satisfactory to the trustee. Upon request, copies of those receipts or other evidence of payments, as the case may be, will be made available by the trustee to the holders or beneficial owners of the debt securities.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will pay any stamp, issue, registration, court, documentary or value added taxes, or any other excise or property taxes, charges or similar levies (including, in each case, interest and penalties) payable in respect of the creation, issue, offering, execution, delivery, registration, enforcement or making payments in respect of the debt securities or any documentation with respect thereto, excluding any such taxes, charges or similar levies imposed by any jurisdiction other than a Relevant Jurisdiction except those resulting from, or required to be paid in connection with, the enforcement of the debt securities after the occurrence and during the continuance of an Event of Default with respect to the debt securities.</w:t>
      </w:r>
    </w:p>
    <w:p>
      <w:pPr>
        <w:spacing w:after="0" w:line="170"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Whenever there is mentioned, in any context, the payment of principal, premium or interest in respect of any debt security, such mention shall be deemed to include the payment of Additional Amounts provided for in the indenture, to the extent that, in such context, Additional Amounts are, were or would be payable in respect thereof pursuant to the indenture.</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foregoing provisions shall apply in the same manner with respect to the jurisdiction in which any successor Person to us is organized or resident for tax purposes or any political subdivision or any authority therein or thereof having the power to tax (a "Successor Jurisdiction"), substituting such Successor Jurisdiction for the Relevant Jurisdiction.</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obligation to make payments of Additional Amounts under the terms and conditions described above will survive any termination, defeasance or discharge of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Redemption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series of debt securities may be redeemed at any time, at our option, in whole but not in part, upon notice as described below, at a redemption price equal to 100% of the principal amount thereof, together with accrued and unpaid interest, if any, to, but not including, the date fixed for redemption, if (i) as a result of any change in, or amendment to, the laws or regulations of the Relevant Jurisdiction (or, in the case of Additional Amounts payable by a successor Person to us, the applicable Successor Jurisdiction), or any change in the official application or official interpretation of such laws or regulations, which change or amendment becomes effective on or after the issue date of the applicable series of debt securities (or, in the case of Additional Amounts payable by a successor Person to us, the date on which such successor Person to us became such pursuant to the applicable provisions of the indenture) (a "Tax Change"), we or any such successor Person to us is, or would be, obligated to pay Additional Amounts upon the next payment of principal, premium (if any) or interest in respect of such debt securities and (ii) such obligation cannot be avoided by us or any such successor Person to us taking reasonable measures available to it, provided that changing our or such successor Person's jurisdiction is not a reasonable measure for purposes of this section.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the giving of any notice of redemption of debt securities pursuant to the foregoing, we or any such successor Person to us shall deliver to the trustee</w:t>
      </w:r>
    </w:p>
    <w:p>
      <w:pPr>
        <w:spacing w:after="0" w:line="38" w:lineRule="exact"/>
        <w:rPr>
          <w:sz w:val="20"/>
          <w:szCs w:val="20"/>
          <w:color w:val="auto"/>
        </w:rPr>
      </w:pPr>
    </w:p>
    <w:p>
      <w:pPr>
        <w:jc w:val="both"/>
        <w:ind w:right="40" w:firstLine="8"/>
        <w:spacing w:after="0" w:line="255"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notice of such redemption election, (ii) an opinion of an independent legal counsel or an opinion of an independent tax consultant to the effect that we or any such successor Person to us is, or would become, obligated to pay such Additional Amounts as the result of a Tax Change and (iii) an officers' certificate from us or any such successor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Person to us, stating that such amendment or change has occurred, describing the facts leading thereto and stating that such requirement cannot be avoided by us or any such successor Person to us taking reasonable measures available to it.</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Notice of redemption of debt securities as provided above shall be given to the holders not less than 30 nor more than 60 days prior to the date fixed for redemption; provided that no such notice of redemption shall be given earlier than 90 days prior to the earliest date on which we or any such successor Person to us would be required to pay Additional Amounts if a payment in respect of such debt securities was then due. Notice having been given, the debt securities of that series shall become due and payable on the date fixed for redemption and will be paid at the redemption price, together with accrued and unpaid interest, if any, to, but not including, the date fixed for redemption, at the place or places of payment and in the manner specified in that series of the debt securities. From and after the redemption date, if moneys for the redemption of such debt securities shall have been made available as provided in the indenture for redemption on the redemption date, the debt securities of such series shall cease to bear interest, and the only right of the holders of such debt securities shall be to receive payment of the redemption price and accrued and unpaid interest, if any, to, but not including, the date fixed for redemption.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Purchases</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or any of our Controlled Entities may, in accordance with all applicable laws and regulations, at any time purchase the debt securities issued under the indenture in the open market or otherwise at any price, so long as such purchase does not otherwise violate the terms of the indenture. The debt securities so purchased, while held by or on behalf of us or any of our Controlled Entities, shall not be deemed to be outstanding for the purposes of determining whether the holders of the requisite principal amount of outstanding debt securities have given any request, demand, authorization, direction, notice, consent or waiver hereunder.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The indenture contains provisions permitting us and the trustee, without the consent of the holders of the applicable series of debt securities, to execute supplemental indentures for certain enumerated purposes in the indenture and, with the consent of the holders of not less than a majority in aggregate principal amount of the applicable series of debt securities then outstanding under the indenture, to add, change, eliminate or modify in any way the provisions of the indenture or any supplemental indentures or to change or modify in any manner the rights of the holders of such debt securities. We and the trustee may not, however, without the consent of each holder of the debt securities of the applicable series affected thereby:</w:t>
      </w:r>
    </w:p>
    <w:p>
      <w:pPr>
        <w:spacing w:after="0" w:line="18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payments of interest on or stated time for payment of interest on any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any obligation of ours to pay Additional Amounts with respect to any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the currency of payment of the principal of, premium (if any) or interest on any debt security;</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of the principal of an original issue discount security that would be due and payable upon a declaration of acceleration of the maturity thereof;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with respect to any debt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debt securities necessary to modify or amend the indenture;</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percentage of the aggregate principal amount of outstanding debt securities of that series necessary for waiver of compliance with certain provisions of the indenture or for waiver of certain defaults;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modify the provisions of the indenture with respect to modification and waiver;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 change or modify any provision of the indenture or the related definition affecting the ranking of any series of debt securities in a manner which adversely affects the holders of such debt securities; or</w:t>
      </w:r>
    </w:p>
    <w:p>
      <w:pPr>
        <w:spacing w:after="0" w:line="212"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amount of the premium payable upon the redemption or repurchase of any series of debt securities or change the time at which any series of debt securities may be redeemed or repurchased as described above under "—Tax Redemption" or as described in the applicable prospectus supplement.</w:t>
      </w:r>
    </w:p>
    <w:p>
      <w:pPr>
        <w:spacing w:after="0" w:line="194"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holders of not less than a majority in principal amount of the debt securities of any series then outstanding may on behalf of all holders of the debt securities of that series waive any existing or past Default or Event of Default and its consequences under the indenture, except a continuing Default or Event of Default (i) in the payment of principal of, premium (if any) or interest on (or Additional Amount payable in respect of), the debt securities of such series then outstanding, in which event the consent of all holders of the debt securities of such series then outstanding affected thereby is required, or (ii) in respect of a covenant or provision which under the indenture cannot be modified or amended without the consent of the holder of each debt security of such series then outstanding affected thereby. Any such waivers will be conclusive and binding on all holders of that series of debt securities, whether or not they have given consent to such waivers, and on all future holders of such debt securities, whether or not notation of such waivers is made upon such debt securities. Any instrument given by or on behalf of any holder of a debt security of that series in connection with any consent to any such waiver will be irrevocable once given and will be conclusive and binding on all subsequent holders of such debt security.</w:t>
      </w:r>
    </w:p>
    <w:p>
      <w:pPr>
        <w:spacing w:after="0" w:line="17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Notwithstanding the foregoing, without the consent of any holder of the securities, we and the trustee may amend the indenture and the relevant debt securities to, among other things:</w:t>
      </w:r>
    </w:p>
    <w:p>
      <w:pPr>
        <w:spacing w:after="0" w:line="199" w:lineRule="exact"/>
        <w:rPr>
          <w:sz w:val="20"/>
          <w:szCs w:val="20"/>
          <w:color w:val="auto"/>
        </w:rPr>
      </w:pPr>
    </w:p>
    <w:p>
      <w:pPr>
        <w:ind w:left="1080" w:right="1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cure any ambiguity, omission, defect or inconsistency contained in the indenture or in any supplemental indenture; provided, however, that such amendment does not materially and adversely affect the rights of holders;</w:t>
      </w:r>
    </w:p>
    <w:p>
      <w:pPr>
        <w:spacing w:after="0" w:line="199"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evidence the succession of another corporation to the Company, or successive successions, and the assumption by such successor of the covenants and obligations of the Company contained in the debt securities of one or more series and in this indenture or any supplemental indenture;</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the rules of any applicable depositary;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secure any series of debt securities;</w:t>
      </w:r>
    </w:p>
    <w:p>
      <w:pPr>
        <w:spacing w:after="0" w:line="238"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 to the covenants and agreements of the Company, to be observed thereafter and during the period, if any, in such supplemental indenture or indentures expressed, and to add Events of Default, in each case for the protection or benefit of the holders of all or any series of the debt securities (and if such covenants, agreements and Events of Default are to be for the benefit of fewer than all series of debt securities, stating that such covenants, agreements and Events of Default are expressly being included for the benefit of such series as shall be identified therein), or to surrender any right or power herein conferred upon the Company;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change in any series of debt securities that does not adversely affect the legal rights under the indenture of any holder of such debt securities in any material respect;</w:t>
      </w:r>
    </w:p>
    <w:p>
      <w:pPr>
        <w:spacing w:after="0" w:line="21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evidence and provide for the acceptance of an appointment under the indenture of a successor trustee; provided that the successor trustee is otherwise qualified and eligible to act as such under the terms thereof;</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 the text of the indenture or any series of the debt securities to any provision of this "Description of Debt Securities" to the extent that such provision in this prospectus was intended to be a verbatim recitation of a provision of the indenture or such series of the debt securities as evidenced by an officers' certificate;</w:t>
      </w:r>
    </w:p>
    <w:p>
      <w:pPr>
        <w:spacing w:after="0" w:line="207"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amendment to the provisions of the indenture relating to the transfer and legending of debt securities as permitted by the indenture, including, but not limited to, facilitating the issuance and administration of any series of the debt securities or, if incurred in compliance with the indenture, additional debt securities; provided, however, that (A) compliance with the indenture as so amended would not result in any series of the debt securities being transferred in violation of the Securities Act or any applicable securities law and (B) such amendment does not materially and adversely affect the rights of holders to transfer debt securities;</w:t>
      </w:r>
    </w:p>
    <w:p>
      <w:pPr>
        <w:spacing w:after="0" w:line="196"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or eliminate any of the provisions of the indenture; provided that any such change or elimination shall become effective only when there is no outstanding debt security of any series created prior to the execution of such supplemental indenture that is entitled to the benefit of such provision and as to which such supplemental indenture would apply;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amendment to the indenture necessary to qualify the indenture under the Trust Indenture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guarantors or co-obligors with respect to any series of debt securities; and</w:t>
      </w:r>
    </w:p>
    <w:p>
      <w:pPr>
        <w:spacing w:after="0" w:line="252" w:lineRule="exact"/>
        <w:rPr>
          <w:rFonts w:ascii="Arial" w:cs="Arial" w:eastAsia="Arial" w:hAnsi="Arial"/>
          <w:sz w:val="18"/>
          <w:szCs w:val="18"/>
          <w:color w:val="auto"/>
        </w:rPr>
      </w:pPr>
    </w:p>
    <w:p>
      <w:pPr>
        <w:ind w:left="1080" w:right="42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the form and terms of debt securities of any series as permitted under the indenture, or to provide for the issuance of additional debt securities in accordance with the limitations set forth in the indenture, or to add to the conditions, limitations or restrictions on the authorized amount, terms or purposes of issue, authentication or delivery of the debt securities of any series, as herein set forth, or other conditions, limitations or restrictions thereafter to be observed.</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supplement or waiver. It is sufficient if such consent approves the substance of the proposed amendment or supplement. A consent to any amendment, supplement or waiver under the indenture by any holder given in connection with a tender of such holder's debt securities will not be rendered invalid by such tender. After an amendment, supplement or waiver under the indenture becomes effective, we are required to give to the holders a notice briefly describing such amendment, supplement or waiver. However, the failure to give such notice to all the holders, or any defect in the notice will not impair or affect the validity of the amendment, supplement or waiver.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indenture provides that we may not consolidate with or merge into any other Person in a transaction in which we are not the surviving entity, or convey, transfer or lease our properties and assets substantially as an entirety to, any Person unless:</w:t>
      </w:r>
    </w:p>
    <w:p>
      <w:pPr>
        <w:spacing w:after="0" w:line="199" w:lineRule="exact"/>
        <w:rPr>
          <w:sz w:val="20"/>
          <w:szCs w:val="20"/>
          <w:color w:val="auto"/>
        </w:rPr>
      </w:pPr>
    </w:p>
    <w:p>
      <w:pPr>
        <w:ind w:left="1080" w:right="40" w:hanging="532"/>
        <w:spacing w:after="0" w:line="25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Person formed by such consolidation or into which we are merged or to whom we have conveyed, transferred or leased our properties and assets substantially as an entirety is a corporation, partnership, trust or other entity validly existing under the laws of the British Virgin Islands, the Cayman Islands or Hong Kong and such Person expressly assumes by indentures supplemental to the indenture all of our obligations under the indenture and the debt securities issued under the indenture, including the obligation to pay Additional Amounts with respect to any jurisdiction in which it is organized or resident for tax purposes;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and</w:t>
      </w:r>
    </w:p>
    <w:p>
      <w:pPr>
        <w:spacing w:after="0" w:line="212"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independent legal counsel, each stating that such consolidation, merger, conveyance, transfer or lease and such supplemental indentures comply with the indenture and that all conditions precedent therein provided for relating to such transaction have been complied with.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for Consent</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not, and will not permit any of our Controlled Entities to, directly or indirectly, pay or cause to be paid any consideration to or for the benefit of any holder of debt securities of any series for or as an inducement to any consent, waiver or amendment of any of the terms or provisions of the indenture or the debt securities of such series unless such consideration is offered to be paid and is paid to all holders of the relevant series of debt securities that consent, waive or agree to amend in the time frame set forth in the solicitation documents relating to such consent, waiver or amendment.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Under the terms of the indenture, each of the following constitutes an Event of Default for a series of debt securities unless, as otherwise stated in the applicable prospectus supplement, it is either inapplicable to a particular series or it is specifically deleted or modified:</w:t>
      </w:r>
    </w:p>
    <w:p>
      <w:pPr>
        <w:spacing w:after="0" w:line="15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interest on any debt securities of that series within 30 days after the due date for such payment;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principal in respect of any debt securities of that series by the due date for such 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performance of or breach our obligations under the "—Consolidation, Merger and Sale of Assets" covenant;</w:t>
      </w:r>
    </w:p>
    <w:p>
      <w:pPr>
        <w:spacing w:after="0" w:line="238"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default in our performance of or breach any other covenants or agreements contained in the indenture or under the debt securities of that series (other than a default specified in clause (i), (ii) or (iii) above) and such default or breach continues for 60 consecutive days after written notice to us from the trustee or the holders of at least 25% in aggregate principal amount of the debt securities of that series;</w:t>
      </w:r>
    </w:p>
    <w:p>
      <w:pPr>
        <w:spacing w:after="0" w:line="174" w:lineRule="exact"/>
        <w:rPr>
          <w:rFonts w:ascii="Arial" w:cs="Arial" w:eastAsia="Arial" w:hAnsi="Arial"/>
          <w:sz w:val="16"/>
          <w:szCs w:val="16"/>
          <w:color w:val="auto"/>
        </w:rPr>
      </w:pPr>
    </w:p>
    <w:p>
      <w:pPr>
        <w:ind w:left="1080" w:right="20" w:hanging="532"/>
        <w:spacing w:after="0" w:line="310"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default by us or any of Principal Controlled Entities in the payment of principal, interest or premium when due under any other instruments of indebtedness having an aggregate outstanding principal amount equal to or exceeding the greater of (x) US$50 million (or its equivalent in any other currency or currencies) and (y) 2.5% of our Total Equity in the aggregate of the Company and/or any subsidiary of the Company, whether such indebtedness now exists or shall hereafter be created, which default results (i) in such indebtedness becoming or being declared due and payable or (ii) from a failure to pay the principal of any such indebtedness when due and payable at its stated maturity, upon redemption, upon required purchase, upon declaration of acceleration or otherwise and, in each case, such default continues in effect for more than 30 days after the expiration of any grace period or extension of time for payment applicable thereto; provided that any such event of default shall be deemed cured and not continuing upon payment of such indebtedness, rescission of such declaration of acceleration or waiver or with consent of the lender;</w:t>
      </w:r>
    </w:p>
    <w:p>
      <w:pPr>
        <w:spacing w:after="0" w:line="189"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or more final judgments or orders for the payment of money are rendered against us or any of our Principal Controlled Entities and are not paid or discharged, and there is a period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303" w:lineRule="auto"/>
        <w:rPr>
          <w:sz w:val="20"/>
          <w:szCs w:val="20"/>
          <w:color w:val="auto"/>
        </w:rPr>
      </w:pPr>
      <w:r>
        <w:rPr>
          <w:rFonts w:ascii="Arial" w:cs="Arial" w:eastAsia="Arial" w:hAnsi="Arial"/>
          <w:sz w:val="15"/>
          <w:szCs w:val="15"/>
          <w:color w:val="auto"/>
        </w:rPr>
        <w:t>of 90 consecutive days following entry of the final judgment or order that causes the aggregate amount for all such final judgments or orders outstanding and not paid or discharged against all such Persons (net of any amounts that our insurance carriers have paid or agreed to pay with respect thereto under applicable policies) to exceed the greater of (x) US$50 million (or its equivalent in any other currency or currencies) and</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 2.5% of our Total Equity, during which a stay of enforcement, by reason of a pending appeal or otherwise, is not in effect;</w:t>
      </w:r>
    </w:p>
    <w:p>
      <w:pPr>
        <w:spacing w:after="0" w:line="232" w:lineRule="exact"/>
        <w:rPr>
          <w:sz w:val="20"/>
          <w:szCs w:val="20"/>
          <w:color w:val="auto"/>
        </w:rPr>
      </w:pPr>
    </w:p>
    <w:p>
      <w:pPr>
        <w:ind w:left="1080" w:right="40" w:hanging="532"/>
        <w:spacing w:after="0" w:line="289"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us or any of our Principal Controlled Entities in an involuntary case or proceeding under any applicable bankruptcy, insolvency or other similar law or (b) a decree or order adjudging us or any of our Principal Controlled Entities bankrupt or insolvent, or approving as final and nonappealable a petition seeking reorganization, arrangement, adjustment, or composition of or in respect of us or any of our Principal Controlled Entities under any applicable bankruptcy, insolvency or other similar law, or appointing a custodian, receiver, liquidator, assignee, trustee, sequestrator, or other similar official of us or any of our Principal Controlled Entities or of any substantial part of their respective property, or ordering the winding up or liquidation of their respective affairs (or any similar relief granted under any foreign laws), and in any such case the continuance of any such decree or order for relief or any such other decree or order unstayed and in effect for a period of 90 consecutive calendar days;</w:t>
      </w:r>
    </w:p>
    <w:p>
      <w:pPr>
        <w:spacing w:after="0" w:line="199" w:lineRule="exact"/>
        <w:rPr>
          <w:rFonts w:ascii="Arial" w:cs="Arial" w:eastAsia="Arial" w:hAnsi="Arial"/>
          <w:sz w:val="16"/>
          <w:szCs w:val="16"/>
          <w:color w:val="auto"/>
        </w:rPr>
      </w:pPr>
    </w:p>
    <w:p>
      <w:pPr>
        <w:ind w:left="1080" w:right="20" w:hanging="532"/>
        <w:spacing w:after="0" w:line="28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commencement by us or any of our Principal Controlled Entities of a voluntary case or proceeding under any applicable state or foreign bankruptcy, insolvency or other similar law or of any other case or proceeding to be adjudicated bankrupt or insolvent, or the consent by us or any Principal Controlled Entity to the entry of a decree or order for relief in respect of us or any of our Principal Controlled Entities in an involuntary case or proceeding under any applicable bankruptcy, insolvency or other similar law or the commencement of any bankruptcy or insolvency case or proceeding against us or any Principal Controlled Entity, or the filing by us or any Principal Controlled Entity of a petition or answer or consent seeking reorganization or relief with respect to us or any of our Principal Controlled Entities under any applicable bankruptcy, insolvency or other similar law, or the consent by us or any Principal Controlled Entity to the filing of such petition or to the appointment of or taking possession by a custodian, receiver, liquidator, assignee, trustee, sequestrator, or other similar official of us or any of our Principal Controlled Entities or of any substantial part of their respective property pursuant to any such law, or the making by us or any of our Principal Controlled Entities of a general assignment for the benefit of creditors in respect of any indebtedness as a result of an inability to pay such indebtedness as it becomes due, or the admission by us or any of our Principal Controlled Entities in writing of our inability to pay our debts generally as they become due, or the taking of corporate action by us or any of our Principal Controlled Entities that resolves to commence any such action;</w:t>
      </w:r>
    </w:p>
    <w:p>
      <w:pPr>
        <w:spacing w:after="0" w:line="191"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debt securities of that series or the indenture is or becomes or is claimed by us to be unenforceable, invalid or ceases to be in full force and effect otherwise than is permitted by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described in the applicable prospectus supplement.</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However, a default under clause (iv) of the preceding paragraph will not constitute an Event of Default until the trustee or the holders of 25% in principal amount of the then outstanding debt securities of such series provide written notice to us of the default and we do not cure such default within the time specified in clause (iv) of the preceding paragraph after receipt of such written notice.</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trustee shall not be deemed to have notice of any Default or Event of Default (other than a payment default) unless a written notice of any event which is in fact such a default is received by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responsible officer of the Trustee, with direct responsibility for the administration of the Indenture, at the Corporate Trust Office of the Trustee, and such notice references the Notes and the Indenture.</w:t>
      </w:r>
    </w:p>
    <w:p>
      <w:pPr>
        <w:spacing w:after="0" w:line="186"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If an Event of Default (other than an Event of Default described in clauses (vii) or (viii) above) shall occur and be continuing, either the trustee or the holders of at least 25% in aggregate principal amount of the debt securities of that series then outstanding by written notice as provided in the indenture may, and the trustee, upon instructions from holders of at least 25% in aggregate principal amount of the debt securities of that series then outstanding and subject to receipt of pre-funding, security and/or indemnity to its satisfaction, shall declare the unpaid principal amount of the debt securities of that series and any accrued and unpaid interest thereon (and any Additional Amount payable in respect thereof) to be due and payable immediately upon receipt of such notice. If an Event of Default described in clause (v) above shall occur, the declaration of acceleration of the debt securities shall be automatically annulled if the default triggering such Event of Default pursuant to clause (v) shall be remedied or cured by us or any of our Principal Controlled Entities or waived by the holders of the relevant indebtedness within 30 days after the declaration of acceleration with respect thereto and if (1) the annulment of the acceleration of the debt securities of that series would not conflict with any judgment or decree of a court of competent jurisdiction and (2) all Events of Default, other than the non-payment of principal, premium (if any) or interest on the debt securities of that series that became due solely because of the acceleration of the debt securities of that series, have been cured or waived. If an Event of Default described in clauses (vii) or (viii) above shall occur, the unpaid principal amount of all the debt securities then outstanding and any accrued and unpaid interest thereon will automatically, and without any declaration or other action by the trustee or any holder of such debt securities, become immediately due and payable. After a declaration of acceleration but before a judgment or decree for payment of the money due has been obtained by the trustee, the holders of at least a majority in aggregate principal amount of the debt securities of that series then outstanding may, under certain circumstances, waive all past defaults and rescind and annul such acceleration if (1) rescission would not conflict with any judgment or decree of a court of competent jurisdiction and</w:t>
      </w:r>
    </w:p>
    <w:p>
      <w:pPr>
        <w:spacing w:after="0" w:line="3" w:lineRule="exact"/>
        <w:rPr>
          <w:sz w:val="20"/>
          <w:szCs w:val="20"/>
          <w:color w:val="auto"/>
        </w:rPr>
      </w:pPr>
    </w:p>
    <w:p>
      <w:pPr>
        <w:ind w:right="500" w:firstLine="8"/>
        <w:spacing w:after="0" w:line="323"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Events of Default, other than the non-payment of principal, premium, if any, or interest on such debt securities that became due solely because of the acceleration of such debt securities, have been cured or waived . For information as to waiver of defaults, see "—Modification and Waiver."</w:t>
      </w:r>
    </w:p>
    <w:p>
      <w:pPr>
        <w:spacing w:after="0" w:line="14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shall occur and be continuing, the trustee will be under no obligation to exercise any of the trusts or powers vested in it by the indenture at the request, order or direction of any of the holders of such debt securities, unless such holders shall have offered to the trustee pre-funding, security and/or indemnity satisfactory to it against the costs, expenses and liabilities which may be incurred therein or thereby. Subject to certain provisions, including those requiring pre-funding, security and/or indemnification of the trustee, the holders of a majority in aggregate principal amount of the debt securities of a series then outstanding will have the right to direct the time, method and place of conducting any proceeding for any remedy available to the trustee or exercising any trust or power conferred on the trustee. No holder of any debt securities of any series will have any right to institute any proceeding, judicial or otherwise, with respect to the indenture or the debt securities, or for the appointment of a receiver or a trustee, or for any other remedy thereunder, unless (i) such holder has previously given to the trustee written notice of a continuing Event of Default with respect to the debt securities of that series, (ii) the holders of at least 25% in aggregate principal amount of the debt securities of that series then outstanding have made written request to the trustee to institute such proceeding, (iii) such holder or holders have offered pre-funding, security and/or indemnity satisfactory to the trustee and (iv) the trustee has failed to institute such proceeding, and has not received from the holders of a majority in aggregate principal amount of the debt securities of that series then outstanding a written direction inconsistent with such request, within 60 days after such notice, request and offer. However, such limitations do not apply to a suit instituted by a holder of a debt security for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enforcement of the right to receive payment of the principal of, premium (if any) or interest on such debt security on or after the applicable due date specified in such debt security.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indenture will provide that we may at our option and at any time elect to have all of our obligations discharged with respect to the outstanding debt securities of a series ("Legal Defeasance") except for:</w:t>
      </w:r>
    </w:p>
    <w:p>
      <w:pPr>
        <w:spacing w:after="0" w:line="199" w:lineRule="exact"/>
        <w:rPr>
          <w:sz w:val="20"/>
          <w:szCs w:val="20"/>
          <w:color w:val="auto"/>
        </w:rPr>
      </w:pPr>
    </w:p>
    <w:p>
      <w:pPr>
        <w:ind w:left="1080" w:right="2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rights of holders of the debt securities of that series that are then outstanding to receive payments in respect of the principal of, or interest or premium on such debt securities when such payments are due from the trust referred to below;</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that series concerning issuing temporary notes, registration of notes, mutilated, destroyed, lost or stolen notes and the maintenance of an office or agency for payment and money for security payments held in trust;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rights, powers, trusts, duties and immunities of the trustee for the debt securities of that series, and our obligations in connection therewith;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Legal Defeasance and Covenant Defeasance (as defined below) provisions of the indenture for the debt securities of that series.</w:t>
      </w:r>
    </w:p>
    <w:p>
      <w:pPr>
        <w:spacing w:after="0" w:line="24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indenture will provide that, we may, at our option and at any time, elect to have our obligations with respect to the outstanding debt securities of a series released with respect to certain covenants (including our obligations under the headings "Consolidation, Merger and Sale of Assets" and "Payments for Consents") that are described in the indenture ("Covenant Defeasance") and thereafter any omission to comply with those covenants will not constitute a Default or Event of Default. In the event Covenant Defeasance occurs, certain events (not including non-payment, bankruptcy, receivership, rehabilitation and insolvency events) described under the caption "—Events of Default" will no longer constitute an Event of Default.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will also provide that, in order to exercise either Legal Defeasance or Covenant Defeasance:</w:t>
      </w:r>
    </w:p>
    <w:p>
      <w:pPr>
        <w:spacing w:after="0" w:line="252" w:lineRule="exact"/>
        <w:rPr>
          <w:sz w:val="20"/>
          <w:szCs w:val="20"/>
          <w:color w:val="auto"/>
        </w:rPr>
      </w:pPr>
    </w:p>
    <w:p>
      <w:pPr>
        <w:ind w:left="1080" w:right="80" w:hanging="532"/>
        <w:spacing w:after="0" w:line="25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all debt securities of that series subject to Legal Defeasance or Covenant Defeasance, cash in U.S. dollars, U.S. Government Obligation, or a combination of cash in U.S. dollars and U.S. Government Obligation,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we must specify whether such debt securities are being defeased to maturity or to a particular redemption date;</w:t>
      </w:r>
    </w:p>
    <w:p>
      <w:pPr>
        <w:spacing w:after="0" w:line="211"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Legal Defeasance, we must deliver to the trustee an opinion of independent legal counsel reasonably acceptable to the trustee confirming that (a) we have received from, or there has been published by, the Internal Revenue Service a ruling or (b) since the date of the indenture, there has been a change in the applicable federal income tax law, in either case to the effect that, and based thereon such opinion of independent legal counsel will confirm that, the beneficial owners of the then outstanding debt securities of that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Covenant Defeasance, we must deliver to the trustee an opinion of independent legal counsel reasonably acceptable to the trustee confirming that the beneficial owners of the then outstanding debt securities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3"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that series must have occurred and be continuing on the date of such deposit (other than a Default or Event of Default resulting from the borrowing of funds to be applied to such deposit);</w:t>
      </w:r>
    </w:p>
    <w:p>
      <w:pPr>
        <w:spacing w:after="0" w:line="152" w:lineRule="exact"/>
        <w:rPr>
          <w:rFonts w:ascii="Arial" w:cs="Arial" w:eastAsia="Arial" w:hAnsi="Arial"/>
          <w:sz w:val="16"/>
          <w:szCs w:val="16"/>
          <w:color w:val="auto"/>
        </w:rPr>
      </w:pPr>
    </w:p>
    <w:p>
      <w:pPr>
        <w:ind w:left="1080" w:right="26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must deliver to the trustee an officers' certificate stating that the deposit was not made by us with the intent of preferring the holders of debt securities of that series over our other creditors with the intent of defeating, hindering, delaying or defrauding our creditors or others;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an opinion of independent legal counsel, each stating that all conditions precedent relating to the Legal Defeasance or the Covenant Defeasance have been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will be discharged and will cease to be of further effect with respect to debt securities of a series when:</w:t>
      </w:r>
    </w:p>
    <w:p>
      <w:pPr>
        <w:spacing w:after="0" w:line="25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debt securities of that series that have been authenticated, except lost, stolen or destroyed debt securities that have been replaced or paid and notes for whose payment money has been deposited in trust and thereafter repaid to us, have been delivered to the trustee for cancellation; or</w:t>
      </w:r>
    </w:p>
    <w:p>
      <w:pPr>
        <w:spacing w:after="0" w:line="207" w:lineRule="exact"/>
        <w:rPr>
          <w:rFonts w:ascii="Arial" w:cs="Arial" w:eastAsia="Arial" w:hAnsi="Arial"/>
          <w:sz w:val="18"/>
          <w:szCs w:val="18"/>
          <w:color w:val="auto"/>
        </w:rPr>
      </w:pPr>
    </w:p>
    <w:p>
      <w:pPr>
        <w:ind w:left="1620" w:hanging="532"/>
        <w:spacing w:after="0" w:line="291"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debt securities of that series that have not been delivered to the trustee for cancellation have become due and payable by reason of the mailing of a notice of redemption or otherwise or will become due and payable within one year and we have irrevocably deposited or caused to be deposited with the trustee as trust funds in trust solely for the benefit of the holders of the debt securities of such series, cash in U.S. dollars, U.S. Government Obligation, or a combination of cash in U.S. dollars and U.S. Government Obligation, in amounts as will be sufficient, without consideration of any reinvestment of interest, to pay and discharge the entire indebtedness on such debt securities not delivered to the trustee for cancellation for principal, premium and accrued interest to the date of maturity or redemption;</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1080" w:right="14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Default or Event of Default under the indenture has occurred and is continuing with respect to the debt securities of that series on the date of the deposit (other than a Default or Event of Default resulting from the borrowing of funds to be applied to such deposit) and the deposit will not result in a breach or violation of, or constitute a default under, any other instrument to which we are a party or by which we are bound;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paid or caused to be paid all sums payable by us under the indenture with respect to the debt securities of that series; and</w:t>
      </w:r>
    </w:p>
    <w:p>
      <w:pPr>
        <w:spacing w:after="0" w:line="261"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delivered irrevocable instructions to the trustee under the indenture to apply the deposited money toward the payment of the debt securities of that series at maturity or the redemption date, as the case may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In addition, we must deliver an officers' certificate and an opinion of independent legal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trustee under the indenture is Deutsche Bank Trust Company Americas. Pursuant to the indenture, the trustee will be designated by us as the initial paying and transfer agent and registrar for the debt securities. The corporate trust office of the trustee is currently located at 60 Wall Street, 16th Floor, New York, New York 10005, United States, Attention: Corporates Team Deal Manager-Weibo Corporation.</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indenture provides that the trustee, except during the continuance of an Event of Default, undertakes to perform such duties and only such duties as are specifically set forth therein. If an Event of Default has occurred and is continuing, the trustee will exercise such of the rights and powers vested in it by the indenture, and use the same degree of care and skill in its exercise, as a prudent person would exercise or use under the circumstances in the conduct of such person's own affairs.</w:t>
      </w:r>
    </w:p>
    <w:p>
      <w:pPr>
        <w:spacing w:after="0" w:line="19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trustee in its various capacities assumes no responsibility for the accuracy or completeness of the information concerning the Company or its affiliates or any other party referenced in this prospectus or any prospectus supplement or for any failure by the Company or any other party to disclose events that may have occurred and may affect the significance or accuracy of such information.</w:t>
      </w:r>
    </w:p>
    <w:p>
      <w:pPr>
        <w:spacing w:after="0" w:line="19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Whenever the trustee shall have discretion or permissive power in accordance with the indenture or the law, the trustee may decline to exercise the same in the absence of approval by the holders and shall have no obligation to exercise the same unless it has received pre-funding, been indemnified and/or provided with security to its satisfaction against all actions, proceedings, claims, actions or demands to which it may render itself liable and all costs, damages, charges, expenses and liabilities which it may incur by so doing. The trustee in its various capacities shall in no event be responsible for consequential loss or damage of any kind whatsoever (including, but not limited to, loss of profit).</w:t>
      </w:r>
    </w:p>
    <w:p>
      <w:pPr>
        <w:spacing w:after="0" w:line="170"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Subject to the terms of the indenture and the Trust Indenture Act, the trustee is permitted to engage in other transactions with the Company and its affiliates and can profit therefrom without being obliged to account for such profit; and the trustee shall not be under any obligation to monitor any conflict of interest, if any, which may arise between itself and such other parties. The trustee may have interest in, or may be providing, or may in the future provide financial services to other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Indemnity</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To the fullest extent permitted by law, our obligations to any holder of debt securities under the indenture or the applicable series of debt securities, as the case may be, shall, notwithstanding any judgment in a currency (the "Judgment Currency") other than U.S. dollars (the "Agreement Currency"), be discharged only to the extent that on the Business Day following receipt by such holder or the trustee, as the case may be, of any amount in the Judgment Currency, such holder or the trustee, as the case may be, may in accordance with normal banking procedures purchase the Agreement Currency with the Judgment Currency. If the amount of the Agreement Currency so purchased is less than the amount originally to be paid to such holder or the trustee, as the case may be, in the Agreement Currency, we agree, as a separate obligation and notwithstanding such judgment, to pay the difference and if the amount of the Agreement Currency so purchased exceeds the amount originally to be paid to such holder, such holder or the trustee, as the case may be, agrees to pay to or for our account such excess, provided that such holder shall not have any obligation to pay any such excess as long as a default by us in our obligations under the indenture or the debt securities of such series has occurred and is continuing, in which case such excess may be applied by such holder to such obligations.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Notices to holders of debt securities will be mailed to them (or the first named of joint holders) by first class mail (or, if first class mail is unavailable, by airmail) at their respective addresses in the register.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Consent to Jurisdiction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and the debt securities will be governed by and will be construed in accordance with the laws of the State of New York. We have agreed that any action arising out of or based upon the indenture may be instituted in any U.S. federal or New York State court located in the Borough of Manhattan, The City of New York, and have irrevocably submitted to the non-exclusive jurisdiction of any such court in any such action. We have appointed Law Debenture Corporate Services Inc. as our agent upon which process may be served in any such action.</w:t>
      </w:r>
    </w:p>
    <w:p>
      <w:pPr>
        <w:spacing w:after="0" w:line="197"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have agreed that, to the extent that we are or become entitled to any sovereign or other immunity, we will waive such immunity in respect of our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definitions of certain of the terms used herein. Additional terms are defined elsewhere above or in the indenture.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"Business Day" means a day other than a Saturday, Sunday or a day on which banking institutions or trust companies in The City of New York, Hong Kong or Beijing are authorized or obligated by law, regulation or executive order to remain closed.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"Capital Stock" of any Person means any and all shares, interests, rights to purchase, warrants, options, participations or other equivalents of or interests in (however designated) equity of such Person, including any Preferred Shares and limited liability or partnership interests (whether general or limited), but excluding any debt securities convertible or exchangeable into such equity.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"Company" means Weibo Corporation.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"Consolidated Affiliated Entity" of any Person means any corporation, association or other entity which is or is required to be consolidated with such Person under Accounting Standards Codification subtopic 810-10, Consolidation: Overall (including any changes, amendments or supplements thereto) or, if such Person prepares its financial statements in accordance with accounting principles other than U.S. GAAP, the equivalent of Accounting Standards Codification subtopic 810-10, Consolidation: Overall under such accounting principles. Unless otherwise specified herein, each reference to a Consolidated Affiliated Entity will refer to a Consolidated Affiliated Entity of ours.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"Controlled Entity" of any Person means a Subsidiary or a Consolidated Affiliated Entity of such Person.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"Dollar Equivalent"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6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"holder" in relation to a debt security, means the Person in whose name a debt security is registered in the security register for the registration and the registration of transfer or of exchange of the applicable series of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"Person" means any individual, corporation, firm, limited liability company, partnership, joint venture, undertaking, association, joint stock company, trust, unincorporated organization, trust, state, government or any agency or political subdivision thereof or any other entity (in each case whether or not being a separate legal entity).</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"Preferred Shares," as applied to the Capital Stock of any corporation, means Capital Stock of any class or classes (however designated) that is preferred as to the payment of dividends upon liquidation, dissolution or winding up.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Controlled Entities" at any time shall mean one of our Non-listed Controlled Entities</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to which one or more of the following conditions is/are satisfied: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640" w:hanging="532"/>
        <w:spacing w:after="0" w:line="268"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its total revenue or (in the case of one of our Non-listed Controlled Entities which has one or more Non-listed Controlled Entities) consolidated total revenue attributable to us is at least 10% of our consolidated total revenue;</w:t>
      </w:r>
    </w:p>
    <w:p>
      <w:pPr>
        <w:spacing w:after="0" w:line="199"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its net profit or (in the case of one of our Non-listed Controlled Entities which has one or more Non-listed Controlled Entities) consolidated net profit attributable to us (in each case before taxation and exceptional items) is at least 10% of our consolidated net profit (before taxation and exceptional items); or</w:t>
      </w:r>
    </w:p>
    <w:p>
      <w:pPr>
        <w:spacing w:after="0" w:line="207" w:lineRule="exact"/>
        <w:rPr>
          <w:rFonts w:ascii="Arial" w:cs="Arial" w:eastAsia="Arial" w:hAnsi="Arial"/>
          <w:sz w:val="18"/>
          <w:szCs w:val="18"/>
          <w:color w:val="auto"/>
        </w:rPr>
      </w:pPr>
    </w:p>
    <w:p>
      <w:pPr>
        <w:jc w:val="both"/>
        <w:ind w:left="1620" w:right="840" w:hanging="532"/>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its net assets or (in the case of one of our Non-listed Controlled Entities which has one or more Non-listed Controlled Entities) consolidated net assets attributable to us (in each case after deducting minority interests in Subsidiaries) are at least 10% of our consolidated net assets (after deducting minority interests in Subsidiaries);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all as calculated by reference to the then latest audited financial statements (consolidated or, as the case may be, unconsolidated) of our Non-listed Controlled Entity and our then latest audited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provided that, in relation to paragraphs (a), (b) and (c) above:</w:t>
      </w:r>
    </w:p>
    <w:p>
      <w:pPr>
        <w:spacing w:after="0" w:line="252" w:lineRule="exact"/>
        <w:rPr>
          <w:sz w:val="20"/>
          <w:szCs w:val="20"/>
          <w:color w:val="auto"/>
        </w:rPr>
      </w:pPr>
    </w:p>
    <w:p>
      <w:pPr>
        <w:ind w:left="1080" w:hanging="532"/>
        <w:spacing w:after="0" w:line="29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a corporation or other business entity becoming a Non-listed Controlled Entity after the end of the financial period to which our latest consolidated audited accounts relate, the reference to our then latest consolidated audited accounts and our Non-listed Controlled Entities for the purposes of the calculation above shall, until our consolidated audited accounts for the financial period in which the relevant corporation or other business entity becomes a Non-listed Controlled Entity are issued, be deemed to be a reference to the then latest consolidated audited accounts of us and our Non-listed Controlled Entities adjusted to consolidate the latest audited accounts (consolidated in the case of a Non-listed Controlled Entity which itself has Controlled Entities) of such Non-listed Controlled Entity in such accounts;</w:t>
      </w:r>
    </w:p>
    <w:p>
      <w:pPr>
        <w:spacing w:after="0" w:line="187"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at any relevant time in relation to us or any Non-listed Controlled Entity which itself has Non-listed Controlled Entities, no consolidated accounts are prepared and audited, total revenue, net profit or net assets of us and/or any such Non-listed Controlled Entity shall be determined on the basis of pro forma consolidated accounts prepared for this purpose by or on behalf of us;</w:t>
      </w:r>
    </w:p>
    <w:p>
      <w:pPr>
        <w:spacing w:after="0" w:line="174" w:lineRule="exact"/>
        <w:rPr>
          <w:rFonts w:ascii="Arial" w:cs="Arial" w:eastAsia="Arial" w:hAnsi="Arial"/>
          <w:sz w:val="16"/>
          <w:szCs w:val="16"/>
          <w:color w:val="auto"/>
        </w:rPr>
      </w:pPr>
    </w:p>
    <w:p>
      <w:pPr>
        <w:jc w:val="both"/>
        <w:ind w:left="1080" w:right="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at any relevant time in relation to any Non-listed Controlled Entity, no accounts are audited, its net assets (consolidated, if appropriate) shall be determined on the basis of pro forma accounts (consolidated, if appropriate) of the relevant Non-listed Controlled Entity prepared for this purpose by or on behalf of us; and</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accounts of any Non-listed Controlled Entity (not being a Non-listed Controlled Entity referred to in proviso (1) above) are not consolidated with our accounts, then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332" w:lineRule="auto"/>
        <w:rPr>
          <w:sz w:val="20"/>
          <w:szCs w:val="20"/>
          <w:color w:val="auto"/>
        </w:rPr>
      </w:pPr>
      <w:r>
        <w:rPr>
          <w:rFonts w:ascii="Arial" w:cs="Arial" w:eastAsia="Arial" w:hAnsi="Arial"/>
          <w:sz w:val="16"/>
          <w:szCs w:val="16"/>
          <w:color w:val="auto"/>
        </w:rPr>
        <w:t>determination of whether or not such Non-listed Controlled Entity is a Principal Controlled Entity shall be based on a pro forma consolidation of its accounts (consolidated, if appropriate) with our consolidated accounts (determined on the basis of the foregoing); or</w:t>
      </w:r>
    </w:p>
    <w:p>
      <w:pPr>
        <w:spacing w:after="0" w:line="153" w:lineRule="exact"/>
        <w:rPr>
          <w:sz w:val="20"/>
          <w:szCs w:val="20"/>
          <w:color w:val="auto"/>
        </w:rPr>
      </w:pPr>
    </w:p>
    <w:p>
      <w:pPr>
        <w:ind w:left="108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which is transferred all or substantially all of the assets of a Non-listed Controlled Entity which immediately prior to the transfer was a Principal Controlled Entity; provided that, with effect from such transfer, the Non-listed Controlled Entity which so transfers its assets and undertakings shall cease to be a Principal Controlled Entity (but without prejudice to paragraph (i) above) and the Non-listed Controlled Entity to which the assets are so transferred shall become a Principal Controlled Entity.</w:t>
      </w:r>
    </w:p>
    <w:p>
      <w:pPr>
        <w:spacing w:after="0" w:line="197"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An officers' certificate delivered to the trustee certifying in good faith as to whether or not a Controlled Entity is a Principal Controlled Entity shall be conclusive in the absence of manifest error.</w:t>
      </w:r>
    </w:p>
    <w:p>
      <w:pPr>
        <w:spacing w:after="0" w:line="186"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"Non-listed Controlled Entities" means the Controlled Entities other than (i) any Controlled Entities with shares of common stock or other common equity interests listed on a nationally recognized stock exchange, including but not limited to the Shanghai Stock Exchange; and (ii) any Subsidiaries or Consolidated Affiliated Entities of any Controlled Entity referred to in clause (i) of this definition.</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"Stated Maturity" means, when used with respect to any debt security or any installment of interest thereon, the date specified in such debt security as the fixed date on which the principal (or any portion thereof) of or premium, if any, on such debt security or such installment of interest is due and payable.</w:t>
      </w:r>
    </w:p>
    <w:p>
      <w:pPr>
        <w:spacing w:after="0" w:line="139"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"Subsidiary" of any Person means (a) any corporation, association or other business entity (other than a partnership, joint venture, 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 (b) any partnership, joint venture limited liability company or similar entity of which more than 50% of the capital accounts, distribution rights, total equity and voting interests or general or limited partnership interests, as applicable, is, in the case of clauses (a) and (b), voting at the time owned or controlled, directly or indirectly, by (1) such Person,</w:t>
      </w:r>
    </w:p>
    <w:p>
      <w:pPr>
        <w:spacing w:after="0" w:line="2" w:lineRule="exact"/>
        <w:rPr>
          <w:sz w:val="20"/>
          <w:szCs w:val="20"/>
          <w:color w:val="auto"/>
        </w:rPr>
      </w:pPr>
    </w:p>
    <w:p>
      <w:pPr>
        <w:ind w:right="80" w:firstLine="8"/>
        <w:spacing w:after="0" w:line="261"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Person and one or more Subsidiaries of such Person or (3) one or more Subsidiaries of such Person. Unless otherwise specified herein, each reference to a Subsidiary will refer to a Subsidiary of the Company.</w:t>
      </w:r>
    </w:p>
    <w:p>
      <w:pPr>
        <w:spacing w:after="0" w:line="19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"Total Equity," as of any date, means the total equity attributable to our shareholders on a consolidated basis determined in accordance with U.S. GAAP, as shown on our consolidated balance sheet for the most recent fiscal quarter.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GAAP" refers to generally accepted accounting principles in the United States of America.</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"U.S. Government Obligations"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OWNERSHIP OF DEBT SECURITIES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this prospectus and the applicable prospectus supplement, when we refer to the "holders" of debt securities as being entitled to specified rights or payments, we mean only the actual legal holders of the debt securities. While you will be the holder if you hold a security registered in your name, more often than not the registered holder will actually be a broker, bank, other financial institution or, in the case of a global security, a depositary. Our obligations, as well as the obligations of the trustee, any registrar, any depositary, and any third parties employed by us or the other entities listed above, run only to persons who are registered as holders of our debt securities, except as may be specifically provided for in a contract governing the debt securities. For example, once we make payment to the registered holder, we have no further responsibility for the payment even if that registered holder is legally required to pass the payment along to you as a street name customer but does not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and Other Indirect Holders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Holding debt securities in accounts at banks or brokers is called holding in "street name." If you hold our debt securities in street name, we will recognize only the bank or broker, or the financial institution that the bank or broker uses to hold the debt securities, as a holder. These intermediary banks, brokers, other financial institutions, and depositaries pass along principal, interest, dividends, and other payments, if any, on the debt securities, either because they agree to do so in their customer agreements or because they are legally required to do so. This means that if you are an indirect holder, you will need to coordinate with the institution through which you hold your interest in a security in order to determine how the provisions involving holders described in this prospectus and any prospectus supplement will actually apply to you. For example, if the debt security in which you hold a beneficial interest in street name can be repaid at the option of the holder, you cannot redeem it yourself by following the procedures described in the prospectus supplement relating to that security. Instead, you would need to cause the institution through which you hold your interest to take those actions on your behalf. Your institution may have procedures and deadlines different from or additional to those described in the applicable prospectus supplement.</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hold our debt securities in street name or through other indirect means, you should check with the institution through which you hold your interest in a security to find out, among others:</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handles payments and notices with respect to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handles voting, if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and when you should notify it to exercise on your behalf any rights or options that may exist under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direct holder; and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would pursue rights under the debt securities if there were a default or other event triggering the need for holders to act to protect their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global security is a special type of indirectly held security. If we issue debt securities in the form of global securities, the ultimate beneficial owners can only be indirect holders. We do this by requiring that the global security be registered in the name of a financial institution we select and by requiring that the debt securities included in the global security not be transferred to the name of any other direct holder unless the special circumstances described below occur. The financial institution that acts as the sole direct holder of the global security is called the "depositary." Any person wishing to own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security issued in global form must do so indirectly through an account with a broker, bank, or other financial institution that in turn has an account with the depositary. The applicable prospectus supplement will indicate whether the debt securities will be issued only as global securities.</w:t>
      </w:r>
    </w:p>
    <w:p>
      <w:pPr>
        <w:spacing w:after="0" w:line="139"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an indirect holder, your rights relating to a global security will be governed by the account rules of your financial institution and of the depositary, as well as general laws relating to securities transfers. We will not recognize you as a holder of the debt securities and instead will deal only with the depositary that holds the global security.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should be aware that if our debt securities are issued only in the form of global securities: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cannot have the debt securities registered in your own name;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cannot receive physical certificates for your interest in the debt securities;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will be a street name holder and must look to your own bank or broker for payments on the debt securities and protection of your legal rights relating to the debt securities;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may not be able to sell interests in the debt securities to some insurance companies and other institutions that are required by law to own their debt securities in the form of physical certificates;</w:t>
      </w:r>
    </w:p>
    <w:p>
      <w:pPr>
        <w:spacing w:after="0" w:line="21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depositary's policies will govern payments, dividends, transfers, exchange and other matters relating to your interest in the global security. We, the trustee, and any registrar have no responsibility for any aspect of the depositary's actions or for its records of ownership interests in the global security. We, the trustee and any registrar also do not supervise the depositary in any way;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depositary will require that interests in a global security be purchased or sold within its system using same-day funds for settlement.</w:t>
      </w:r>
    </w:p>
    <w:p>
      <w:pPr>
        <w:spacing w:after="0" w:line="24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a few special situations described below, a global security representing our debt securities will terminate and interests in it will be exchanged for physical certificates representing the debt securities. After that exchange, the choice of whether to hold debt securities directly or in street name will be up to you. You must consult your bank or broker to find out how to have your interests in the debt securities transferred to your name, so that you will be a direct holder.</w:t>
      </w:r>
    </w:p>
    <w:p>
      <w:pPr>
        <w:spacing w:after="0" w:line="16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Unless we specify otherwise in the applicable prospectus supplement, the special situations for termination of a global security representing our debt securities are:</w:t>
      </w:r>
    </w:p>
    <w:p>
      <w:pPr>
        <w:spacing w:after="0" w:line="199" w:lineRule="exact"/>
        <w:rPr>
          <w:sz w:val="20"/>
          <w:szCs w:val="20"/>
          <w:color w:val="auto"/>
        </w:rPr>
      </w:pPr>
    </w:p>
    <w:p>
      <w:pPr>
        <w:ind w:left="1080" w:right="12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depositary has notified us that it is unwilling or unable to continue as depositary for such global security or the depositary ceases to be a clearing agency registered under the Securities Exchange Act of 1934, as amended, at a time when such depositary is required to be so registered in order to act as depositary, and, in each case, we do not or cannot appoint a successor depositary within 90 days;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decide in our sole discretion to allow some or all book-entry securities to be exchangeable for definitive securities in registered form;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upon request by holders, in case that an event of default with respect to the debt securities of the applicable series has occurred and is continuing.</w:t>
      </w:r>
    </w:p>
    <w:p>
      <w:pPr>
        <w:spacing w:after="0" w:line="26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debt securities covered by such prospectus supplement. When a global security terminates, the depositary (and not us, the trustee or any registrar) is responsible for deciding the names of the institutions that will be the initial direct 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incorporated in the Cayman Islands because of the following benefits found there:</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w:t>
      </w:r>
    </w:p>
    <w:p>
      <w:pPr>
        <w:spacing w:after="0" w:line="239" w:lineRule="exact"/>
        <w:rPr>
          <w:sz w:val="20"/>
          <w:szCs w:val="20"/>
          <w:color w:val="auto"/>
        </w:rPr>
      </w:pPr>
    </w:p>
    <w:p>
      <w:pPr>
        <w:ind w:left="1080" w:right="1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Substantially all of our current operations are conducted in China, and substantially all of our assets are located in China. We have appointed Puglisi &amp; Associates, which is located at 850 Library Avenue, Suite 204, Newark, DE 19711, as our agent upon whom process may be served in any action brought against us under the securities laws of the United States. A majority of our directors and officers are nationals or residents of jurisdictions other than the United States and a substantial portion of their assets are located outside the United States. As a result, it may be difficult for an investor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Maples and Calder (Hong Kong) LLP, our counsel as to Cayman Islands law, and TransAsia Lawyers, our counsel as to PRC law, have advised us that there is uncertainty as to whether the courts of the Cayman Islands and China, respectively, would:</w:t>
      </w:r>
    </w:p>
    <w:p>
      <w:pPr>
        <w:spacing w:after="0" w:line="213" w:lineRule="exact"/>
        <w:rPr>
          <w:sz w:val="20"/>
          <w:szCs w:val="20"/>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86" w:lineRule="exact"/>
        <w:rPr>
          <w:sz w:val="20"/>
          <w:szCs w:val="20"/>
          <w:color w:val="auto"/>
        </w:rPr>
      </w:pPr>
    </w:p>
    <w:p>
      <w:pPr>
        <w:jc w:val="both"/>
        <w:ind w:right="340" w:firstLine="351"/>
        <w:spacing w:after="0" w:line="298" w:lineRule="auto"/>
        <w:rPr>
          <w:sz w:val="20"/>
          <w:szCs w:val="20"/>
          <w:color w:val="auto"/>
        </w:rPr>
      </w:pPr>
      <w:r>
        <w:rPr>
          <w:rFonts w:ascii="Arial" w:cs="Arial" w:eastAsia="Arial" w:hAnsi="Arial"/>
          <w:sz w:val="16"/>
          <w:szCs w:val="16"/>
          <w:color w:val="auto"/>
        </w:rPr>
        <w:t>Maples and Calder (Hong Kong) LLP has advised us that although there is no statutory recognition in the Cayman Islands of judgments obtained in the United States, the courts of the Cayman Islands will in the circumstances described below,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Maples and Calder (Hong Kong) LLP has further advised us that a judgment obtained in the United States will be recognized and enforced in the courts of the Cayman Islands at common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The Grand Court of the Cayman Islands may stay proceedings if concurrent proceedings are being brought elsewhere. Neither the United States or China has a treaty with the Cayman Islands providing for reciprocal recognition and enforcement of judgments of courts of the United States or China, respectively, in civil and commercial matters.</w:t>
      </w:r>
    </w:p>
    <w:p>
      <w:pPr>
        <w:spacing w:after="0" w:line="17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TransAsia Lawyers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that provide for the reciprocal recognition and enforcement of foreign judgments. In addition, according to the PRC Civil Procedures Law, PRC courts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described in this prospectus from time to time in one or more of the following ways: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with respect to the offered securities will describe the terms of the offering, including the following:</w:t>
      </w:r>
    </w:p>
    <w:p>
      <w:pPr>
        <w:spacing w:after="0" w:line="25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or names of any underwriters or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proceeds from such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distribute the securities from time to time in one or more of the following ways:</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prices relating to prevailing market prices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Agents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Underwriters or Dealers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we use underwriters for the sale of securities, they will acquire securities for their own account. The underwriters may resell the securities from time to time in one or more transactions, including negotiated transactions, at a fixed public offering price or at varying prices determined at the time of sale. Unless we otherwise state in the applicable prospectus supplement, various conditions will apply to the underwriters' obligation to purchase securities,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The underwriter or underwriters with respect to a particular underwritten offering of securities, or, if an underwriting syndicate is used, the managing underwriter or underwriters, will be set forth on the cover of the applicable prospectus supplement.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sell securities directly without using agents, underwriters, or dealers.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spacing w:after="0" w:line="16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being represented by Skadden, Arps, Slate, Meagher &amp; Flom LLP with respect to legal matters of United States federal securities and New York State law, by Maples and Calder (Hong Kong) LLP with respect to legal matters of Cayman Islands law and by TransAsia Lawyers with respect to legal matters of PRC law. The validity of the debt securities will be passed upon for us by Skadden, Arps, Slate, Meagher &amp; Flom LLP. Skadden, Arps, Slate, Meagher &amp; Flom LLP may rely upon Maples and Calder (Hong Kong) LLP with respect to matters governed by Cayman Islands law and TransAsia Lawyers with respect to matters governed by PRC law. Legal matters in connection with the debt securities to be offered hereby will be passed upon for any underwriters or agents by counsel to be named in the applicable prospectus supplement.</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318" w:lineRule="auto"/>
        <w:rPr>
          <w:rFonts w:ascii="Arial" w:cs="Arial" w:eastAsia="Arial" w:hAnsi="Arial"/>
          <w:sz w:val="15"/>
          <w:szCs w:val="15"/>
          <w:color w:val="0000EE"/>
        </w:rPr>
      </w:pPr>
      <w:r>
        <w:rPr>
          <w:rFonts w:ascii="Arial" w:cs="Arial" w:eastAsia="Arial" w:hAnsi="Arial"/>
          <w:sz w:val="15"/>
          <w:szCs w:val="15"/>
          <w:color w:val="auto"/>
        </w:rPr>
        <w:t xml:space="preserve">The consolidated financial statements of Weibo Corporation and the management's assessment of the effectiveness of internal control over financial </w:t>
      </w:r>
      <w:hyperlink r:id="rId29">
        <w:r>
          <w:rPr>
            <w:rFonts w:ascii="Arial" w:cs="Arial" w:eastAsia="Arial" w:hAnsi="Arial"/>
            <w:sz w:val="15"/>
            <w:szCs w:val="15"/>
            <w:color w:val="auto"/>
          </w:rPr>
          <w:t xml:space="preserve">reporting (which is included in the Management's Annual Report on Internal Control over Financial Reporting) incorporated herein by reference to the </w:t>
        </w:r>
        <w:r>
          <w:rPr>
            <w:rFonts w:ascii="Arial" w:cs="Arial" w:eastAsia="Arial" w:hAnsi="Arial"/>
            <w:sz w:val="15"/>
            <w:szCs w:val="15"/>
            <w:u w:val="single" w:color="auto"/>
            <w:color w:val="0000EE"/>
          </w:rPr>
          <w:t>annual</w:t>
        </w:r>
      </w:hyperlink>
      <w:r>
        <w:rPr>
          <w:rFonts w:ascii="Arial" w:cs="Arial" w:eastAsia="Arial" w:hAnsi="Arial"/>
          <w:sz w:val="15"/>
          <w:szCs w:val="15"/>
          <w:color w:val="auto"/>
        </w:rPr>
        <w:t xml:space="preserve"> </w:t>
      </w:r>
      <w:hyperlink r:id="rId29">
        <w:r>
          <w:rPr>
            <w:rFonts w:ascii="Arial" w:cs="Arial" w:eastAsia="Arial" w:hAnsi="Arial"/>
            <w:sz w:val="15"/>
            <w:szCs w:val="15"/>
            <w:u w:val="single" w:color="auto"/>
            <w:color w:val="0000EE"/>
          </w:rPr>
          <w:t>report on Form 20-F for the year ended December 31, 2018</w:t>
        </w:r>
        <w:r>
          <w:rPr>
            <w:rFonts w:ascii="Arial" w:cs="Arial" w:eastAsia="Arial" w:hAnsi="Arial"/>
            <w:sz w:val="15"/>
            <w:szCs w:val="15"/>
            <w:color w:val="0000EE"/>
          </w:rPr>
          <w:t xml:space="preserve"> </w:t>
        </w:r>
        <w:r>
          <w:rPr>
            <w:rFonts w:ascii="Arial" w:cs="Arial" w:eastAsia="Arial" w:hAnsi="Arial"/>
            <w:sz w:val="15"/>
            <w:szCs w:val="15"/>
            <w:color w:val="000000"/>
          </w:rPr>
          <w:t xml:space="preserve">have been so incorporated in reliance on the report of PricewaterhouseCoopers Zhong Tian LLP, </w:t>
        </w:r>
      </w:hyperlink>
      <w:r>
        <w:rPr>
          <w:rFonts w:ascii="Arial" w:cs="Arial" w:eastAsia="Arial" w:hAnsi="Arial"/>
          <w:sz w:val="15"/>
          <w:szCs w:val="15"/>
          <w:color w:val="0000EE"/>
        </w:rPr>
        <w:t xml:space="preserve">an </w:t>
      </w:r>
      <w:r>
        <w:rPr>
          <w:rFonts w:ascii="Arial" w:cs="Arial" w:eastAsia="Arial" w:hAnsi="Arial"/>
          <w:sz w:val="15"/>
          <w:szCs w:val="15"/>
          <w:color w:val="000000"/>
        </w:rPr>
        <w:t>independent registered public accounting firm, given on the authority of said firm as experts in auditing and accounting. The offices of PricewaterhouseCoopers Zhong Tian LLP are located at 6/F DBS Bank Tower, 1318 Lu Jia Zui Ring Road, Pudong New Area, Shanghai 200120, People's Republic of China.</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or the Exchange Act, and, in accordance with the Exchange Act, we file annual reports and other information with the SEC. Information we file with the SEC can be obtained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u w:val="single" w:color="auto"/>
          <w:color w:val="0000EE"/>
        </w:rPr>
      </w:pPr>
      <w:hyperlink r:id="rId29">
        <w:r>
          <w:rPr>
            <w:rFonts w:ascii="Arial" w:cs="Arial" w:eastAsia="Arial" w:hAnsi="Arial"/>
            <w:sz w:val="16"/>
            <w:szCs w:val="16"/>
            <w:u w:val="single" w:color="auto"/>
            <w:color w:val="0000EE"/>
          </w:rPr>
          <w:t>our annual report on Form 20-F for the fiscal year ended December 31, 2018 filed with the SEC on April 29, 2019 (File No. 001-36397);</w:t>
        </w:r>
      </w:hyperlink>
    </w:p>
    <w:p>
      <w:pPr>
        <w:spacing w:after="0" w:line="275" w:lineRule="exact"/>
        <w:rPr>
          <w:rFonts w:ascii="Arial" w:cs="Arial" w:eastAsia="Arial" w:hAnsi="Arial"/>
          <w:sz w:val="16"/>
          <w:szCs w:val="16"/>
          <w:u w:val="single" w:color="auto"/>
          <w:color w:val="0000EE"/>
        </w:rPr>
      </w:pPr>
    </w:p>
    <w:p>
      <w:pPr>
        <w:ind w:left="1080" w:hanging="532"/>
        <w:spacing w:after="0"/>
        <w:tabs>
          <w:tab w:leader="none" w:pos="1080" w:val="left"/>
        </w:tabs>
        <w:numPr>
          <w:ilvl w:val="0"/>
          <w:numId w:val="37"/>
        </w:numPr>
        <w:rPr>
          <w:rFonts w:ascii="Arial" w:cs="Arial" w:eastAsia="Arial" w:hAnsi="Arial"/>
          <w:sz w:val="18"/>
          <w:szCs w:val="18"/>
          <w:color w:val="0000EE"/>
        </w:rPr>
      </w:pPr>
      <w:hyperlink r:id="rId59">
        <w:r>
          <w:rPr>
            <w:rFonts w:ascii="Arial" w:cs="Arial" w:eastAsia="Arial" w:hAnsi="Arial"/>
            <w:sz w:val="18"/>
            <w:szCs w:val="18"/>
            <w:u w:val="single" w:color="auto"/>
            <w:color w:val="0000EE"/>
          </w:rPr>
          <w:t>our current report on Form 6-K furnished to the SEC on June 20, 2019 (File No. 001-36397)</w:t>
        </w:r>
      </w:hyperlink>
      <w:r>
        <w:rPr>
          <w:rFonts w:ascii="Arial" w:cs="Arial" w:eastAsia="Arial" w:hAnsi="Arial"/>
          <w:sz w:val="18"/>
          <w:szCs w:val="18"/>
          <w:color w:val="000000"/>
        </w:rPr>
        <w:t>;</w:t>
      </w:r>
    </w:p>
    <w:p>
      <w:pPr>
        <w:spacing w:after="0" w:line="238" w:lineRule="exact"/>
        <w:rPr>
          <w:rFonts w:ascii="Arial" w:cs="Arial" w:eastAsia="Arial" w:hAnsi="Arial"/>
          <w:sz w:val="18"/>
          <w:szCs w:val="18"/>
          <w:color w:val="0000EE"/>
        </w:rPr>
      </w:pPr>
    </w:p>
    <w:p>
      <w:pPr>
        <w:ind w:left="1080" w:right="4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future annual reports on Form 20-F filed with the SEC after the date of this prospectus and prior to the termination of the offering of the securities offered by this prospectus;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future reports on Form 6-K that we furnish to the SEC after the date of this prospectus that are identified in such reports as being incorporated by reference in this prospectus.</w:t>
      </w:r>
    </w:p>
    <w:p>
      <w:pPr>
        <w:spacing w:after="0" w:line="186" w:lineRule="exact"/>
        <w:rPr>
          <w:rFonts w:ascii="Arial" w:cs="Arial" w:eastAsia="Arial" w:hAnsi="Arial"/>
          <w:sz w:val="16"/>
          <w:szCs w:val="16"/>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94"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Investor Relations</w:t>
      </w:r>
    </w:p>
    <w:p>
      <w:pPr>
        <w:spacing w:after="0" w:line="15"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Weibo Corporation</w:t>
      </w:r>
    </w:p>
    <w:p>
      <w:pPr>
        <w:spacing w:after="0" w:line="9"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8/F QIHAO Plaza</w:t>
      </w:r>
    </w:p>
    <w:p>
      <w:pPr>
        <w:spacing w:after="0" w:line="9"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8 Xinyuan South Road</w:t>
      </w:r>
    </w:p>
    <w:p>
      <w:pPr>
        <w:spacing w:after="0" w:line="9"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Chaoyang District, Beijing 100027</w:t>
      </w:r>
    </w:p>
    <w:p>
      <w:pPr>
        <w:spacing w:after="0" w:line="9"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People's Republic of China</w:t>
      </w:r>
    </w:p>
    <w:p>
      <w:pPr>
        <w:spacing w:after="0" w:line="9"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Telephone: +86 (10) 5898-3336</w:t>
      </w:r>
    </w:p>
    <w:p>
      <w:pPr>
        <w:spacing w:after="0" w:line="219"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from and against all actions, proceedings, costs, charges, losses, damages, and expenses that they may incur by reason of any act done, concurred in, or omitted in the execution of their duty, or supposed duty, in their respective offices, provided that such indemnity will not extend to any matter in respect of any fraud or dishonesty that may attach to any of the officers or directors.</w:t>
      </w:r>
    </w:p>
    <w:p>
      <w:pPr>
        <w:spacing w:after="0" w:line="19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of us and our officers and directors.</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Pursuant to the indemnification agreements between us and our directors and officers, the form of which was filed as Exhibit 10.3 to our registration statement on Form F-1 (File No. 333-194589) that was filed with the SEC on March 14, 2014, we agreed to indemnify our directors and officers against certain liabilities and expenses incurred by such persons in connection with claims made by reason of their being a director or officer.</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tab/>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to this registration statement are listed in the Index to Exhibits below.</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20" w:firstLine="403"/>
        <w:spacing w:after="0" w:line="290" w:lineRule="auto"/>
        <w:tabs>
          <w:tab w:leader="none" w:pos="1774" w:val="left"/>
        </w:tabs>
        <w:numPr>
          <w:ilvl w:val="2"/>
          <w:numId w:val="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20" w:firstLine="360"/>
        <w:spacing w:after="0" w:line="268" w:lineRule="auto"/>
        <w:tabs>
          <w:tab w:leader="none" w:pos="1779"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provided, however,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registration statement or is contained in a form of prospectus filed pursuant to Rule 424(b) that is part of the registration statement.</w:t>
      </w:r>
    </w:p>
    <w:p>
      <w:pPr>
        <w:spacing w:after="0" w:line="225" w:lineRule="exact"/>
        <w:rPr>
          <w:sz w:val="20"/>
          <w:szCs w:val="20"/>
          <w:color w:val="auto"/>
        </w:rPr>
      </w:pPr>
    </w:p>
    <w:p>
      <w:pPr>
        <w:ind w:left="540" w:right="260" w:firstLine="359"/>
        <w:spacing w:after="0" w:line="259" w:lineRule="auto"/>
        <w:tabs>
          <w:tab w:leader="none" w:pos="1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540" w:right="60" w:firstLine="359"/>
        <w:spacing w:after="0" w:line="289" w:lineRule="auto"/>
        <w:tabs>
          <w:tab w:leader="none" w:pos="122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60" w:firstLine="447"/>
        <w:spacing w:after="0" w:line="268" w:lineRule="auto"/>
        <w:tabs>
          <w:tab w:leader="none" w:pos="17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w:t>
      </w:r>
    </w:p>
    <w:p>
      <w:pPr>
        <w:spacing w:after="0" w:line="32" w:lineRule="exact"/>
        <w:rPr>
          <w:sz w:val="20"/>
          <w:szCs w:val="20"/>
          <w:color w:val="auto"/>
        </w:rPr>
      </w:pPr>
    </w:p>
    <w:p>
      <w:pPr>
        <w:ind w:left="1080" w:right="40"/>
        <w:spacing w:after="0" w:line="287" w:lineRule="auto"/>
        <w:rPr>
          <w:sz w:val="20"/>
          <w:szCs w:val="20"/>
          <w:color w:val="auto"/>
        </w:rPr>
      </w:pPr>
      <w:r>
        <w:rPr>
          <w:rFonts w:ascii="Arial" w:cs="Arial" w:eastAsia="Arial" w:hAnsi="Arial"/>
          <w:sz w:val="16"/>
          <w:szCs w:val="16"/>
          <w:color w:val="auto"/>
        </w:rPr>
        <w:t>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4" w:lineRule="exact"/>
        <w:rPr>
          <w:sz w:val="20"/>
          <w:szCs w:val="20"/>
          <w:color w:val="auto"/>
        </w:rPr>
      </w:pPr>
    </w:p>
    <w:p>
      <w:pPr>
        <w:ind w:left="540" w:firstLine="359"/>
        <w:spacing w:after="0" w:line="256" w:lineRule="auto"/>
        <w:tabs>
          <w:tab w:leader="none" w:pos="12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registrant will be a seller to the purchaser and will be considered to offer or sell such securities to such purchaser:</w:t>
      </w:r>
    </w:p>
    <w:p>
      <w:pPr>
        <w:spacing w:after="0" w:line="225" w:lineRule="exact"/>
        <w:rPr>
          <w:sz w:val="20"/>
          <w:szCs w:val="20"/>
          <w:color w:val="auto"/>
        </w:rPr>
      </w:pPr>
    </w:p>
    <w:p>
      <w:pPr>
        <w:ind w:left="1780" w:hanging="253"/>
        <w:spacing w:after="0"/>
        <w:tabs>
          <w:tab w:leader="none" w:pos="1780" w:val="left"/>
        </w:tabs>
        <w:numPr>
          <w:ilvl w:val="1"/>
          <w:numId w:val="41"/>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259" w:lineRule="exact"/>
        <w:rPr>
          <w:rFonts w:ascii="Arial" w:cs="Arial" w:eastAsia="Arial" w:hAnsi="Arial"/>
          <w:sz w:val="15"/>
          <w:szCs w:val="15"/>
          <w:color w:val="auto"/>
        </w:rPr>
      </w:pPr>
    </w:p>
    <w:p>
      <w:pPr>
        <w:ind w:left="1080" w:right="200" w:firstLine="403"/>
        <w:spacing w:after="0" w:line="268" w:lineRule="auto"/>
        <w:tabs>
          <w:tab w:leader="none" w:pos="17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20" w:firstLine="360"/>
        <w:spacing w:after="0" w:line="268" w:lineRule="auto"/>
        <w:tabs>
          <w:tab w:leader="none" w:pos="177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100" w:firstLine="359"/>
        <w:spacing w:after="0" w:line="256" w:lineRule="auto"/>
        <w:tabs>
          <w:tab w:leader="none" w:pos="6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right="80" w:firstLine="359"/>
        <w:spacing w:after="0" w:line="253" w:lineRule="auto"/>
        <w:tabs>
          <w:tab w:leader="none" w:pos="6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as amended, and will be governed by the final adjudication of such issue.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240"/>
          </w:cols>
          <w:pgMar w:left="240" w:top="131" w:right="141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3360"/>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14605</wp:posOffset>
            </wp:positionV>
            <wp:extent cx="5240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20" w:space="720"/>
            <w:col w:w="4800"/>
          </w:cols>
          <w:pgMar w:left="240" w:top="131" w:right="1419" w:bottom="1440" w:gutter="0" w:footer="0" w:header="0"/>
          <w:type w:val="continuous"/>
        </w:sectPr>
      </w:pPr>
    </w:p>
    <w:p>
      <w:pPr>
        <w:ind w:left="156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EE"/>
        </w:rPr>
        <w:t>Form of Indenture.</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0000EE"/>
        </w:rPr>
        <w:t>Form of Security (included in Exhibit 4.1).</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Maples and Calder (Hong Kong) LLP.</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0000EE"/>
        </w:rPr>
        <w:t>Opinion of Skadden, Arps, Slate, Meagher &amp; Flom LLP.</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u w:val="single" w:color="auto"/>
          <w:color w:val="0000EE"/>
        </w:rPr>
        <w:t>Consent of PricewaterhouseCoopers Zhong Tian LLP.</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Maples and Calder (Hong Kong) LLP (included in Exhibit 5.1).</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u w:val="single" w:color="auto"/>
          <w:color w:val="0000EE"/>
        </w:rPr>
        <w:t>Consent of TransAsia Lawyers.</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u w:val="single" w:color="auto"/>
          <w:color w:val="0000EE"/>
        </w:rPr>
        <w:t>Consent of Skadden, Arps, Slate, Meagher &amp; Flom LLP (included in Exhibit 5.2).</w:t>
      </w:r>
    </w:p>
    <w:p>
      <w:pPr>
        <w:spacing w:after="0" w:line="225" w:lineRule="exact"/>
        <w:rPr>
          <w:sz w:val="20"/>
          <w:szCs w:val="20"/>
          <w:color w:val="auto"/>
        </w:rPr>
      </w:pPr>
    </w:p>
    <w:p>
      <w:pPr>
        <w:ind w:left="1480"/>
        <w:spacing w:after="0"/>
        <w:tabs>
          <w:tab w:leader="none" w:pos="2000" w:val="left"/>
        </w:tabs>
        <w:rPr>
          <w:rFonts w:ascii="Arial" w:cs="Arial" w:eastAsia="Arial" w:hAnsi="Arial"/>
          <w:sz w:val="15"/>
          <w:szCs w:val="15"/>
          <w:u w:val="single" w:color="auto"/>
          <w:color w:val="0000EE"/>
        </w:rPr>
      </w:pPr>
      <w:r>
        <w:rPr>
          <w:rFonts w:ascii="Arial" w:cs="Arial" w:eastAsia="Arial" w:hAnsi="Arial"/>
          <w:sz w:val="18"/>
          <w:szCs w:val="18"/>
          <w:color w:val="auto"/>
        </w:rPr>
        <w:t>24.1</w:t>
      </w:r>
      <w:r>
        <w:rPr>
          <w:sz w:val="20"/>
          <w:szCs w:val="20"/>
          <w:color w:val="auto"/>
        </w:rPr>
        <w:tab/>
      </w:r>
      <w:hyperlink w:anchor="page42">
        <w:r>
          <w:rPr>
            <w:rFonts w:ascii="Arial" w:cs="Arial" w:eastAsia="Arial" w:hAnsi="Arial"/>
            <w:sz w:val="15"/>
            <w:szCs w:val="15"/>
            <w:u w:val="single" w:color="auto"/>
            <w:color w:val="0000EE"/>
          </w:rPr>
          <w:t>Powers of Attorney (included as part of signature page to this registration statement).</w:t>
        </w:r>
      </w:hyperlink>
    </w:p>
    <w:p>
      <w:pPr>
        <w:spacing w:after="0" w:line="225" w:lineRule="exact"/>
        <w:rPr>
          <w:sz w:val="20"/>
          <w:szCs w:val="20"/>
          <w:color w:val="auto"/>
        </w:rPr>
      </w:pPr>
    </w:p>
    <w:p>
      <w:pPr>
        <w:ind w:left="2020" w:hanging="549"/>
        <w:spacing w:after="0" w:line="268" w:lineRule="auto"/>
        <w:tabs>
          <w:tab w:leader="none" w:pos="20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u w:val="single" w:color="auto"/>
          <w:color w:val="0000EE"/>
        </w:rPr>
        <w:t>Form T-1 Statement of Eligibility under the Trust Indenture Act of 1939 of Deutsche Bank Trust Company Americas with respect to the Indenture.</w:t>
      </w:r>
    </w:p>
    <w:p>
      <w:pPr>
        <w:spacing w:after="0" w:line="186"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Consent of China Insights Industry Consultancy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To be filed by amendment or as an exhibit to a document to be incorporated by reference in this registration statement.</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F-3, including that a security rating for the Notes meeting the requirements of Form F-3 will be assigned by the time of sale, and has duly caused this registration statement to be signed on its behalf by the undersigned, thereunto duly authorized, in Beijing, People's Republic of China, on June 20, 2019.</w:t>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Weibo Corporation</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Gaofei Wang</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severally and not jointly, each of Mr. Gaofei Wang and Ms. Fei Cao as his true and lawful attorney-in-fact and agent, with full power of substitution and resubstitution, for him and in his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 hereby ratifying and confirming all that said attorney-in-fact and agent, or its substitute or substitutes, may lawfully do or cause to be done by virtue hereof.</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set forth below on June 20, 2019.</w:t>
      </w:r>
    </w:p>
    <w:p>
      <w:pPr>
        <w:sectPr>
          <w:pgSz w:w="11900" w:h="16838" w:orient="portrait"/>
          <w:cols w:equalWidth="0" w:num="1">
            <w:col w:w="11180"/>
          </w:cols>
          <w:pgMar w:left="240" w:top="131" w:right="479" w:bottom="1440" w:gutter="0" w:footer="0" w:header="0"/>
        </w:sectPr>
      </w:pPr>
    </w:p>
    <w:p>
      <w:pPr>
        <w:spacing w:after="0" w:line="182" w:lineRule="exact"/>
        <w:rPr>
          <w:sz w:val="20"/>
          <w:szCs w:val="20"/>
          <w:color w:val="auto"/>
        </w:rPr>
      </w:pPr>
    </w:p>
    <w:p>
      <w:pPr>
        <w:ind w:left="30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265"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Gaofei Wang</w:t>
      </w:r>
    </w:p>
    <w:p>
      <w:pPr>
        <w:spacing w:after="0" w:line="252"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/s/ Fei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Fei Cao</w:t>
      </w:r>
    </w:p>
    <w:p>
      <w:pPr>
        <w:spacing w:after="0" w:line="252"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/s/ Charles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Charles Chao</w:t>
      </w:r>
    </w:p>
    <w:p>
      <w:pPr>
        <w:spacing w:after="0" w:line="252"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/s/ Hong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Hong Du</w:t>
      </w:r>
    </w:p>
    <w:p>
      <w:pPr>
        <w:spacing w:after="0" w:line="252" w:lineRule="exact"/>
        <w:rPr>
          <w:sz w:val="20"/>
          <w:szCs w:val="20"/>
          <w:color w:val="auto"/>
        </w:rPr>
      </w:pPr>
    </w:p>
    <w:p>
      <w:pPr>
        <w:jc w:val="center"/>
        <w:ind w:left="1820"/>
        <w:spacing w:after="0"/>
        <w:rPr>
          <w:sz w:val="20"/>
          <w:szCs w:val="20"/>
          <w:color w:val="auto"/>
        </w:rPr>
      </w:pPr>
      <w:r>
        <w:rPr>
          <w:rFonts w:ascii="Arial" w:cs="Arial" w:eastAsia="Arial" w:hAnsi="Arial"/>
          <w:sz w:val="16"/>
          <w:szCs w:val="16"/>
          <w:color w:val="auto"/>
        </w:rPr>
        <w:t>/s/ Daniel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795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Daniel Yong Zhang</w:t>
      </w:r>
    </w:p>
    <w:p>
      <w:pPr>
        <w:spacing w:after="0" w:line="252"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/s/ Pehong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Pehong Chen</w:t>
      </w:r>
    </w:p>
    <w:p>
      <w:pPr>
        <w:spacing w:after="0" w:line="252"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/s/ Frank Kui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795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Frank Kui Tang</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380"/>
        <w:spacing w:after="0"/>
        <w:rPr>
          <w:sz w:val="20"/>
          <w:szCs w:val="20"/>
          <w:color w:val="auto"/>
        </w:rPr>
      </w:pP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49" w:lineRule="exact"/>
        <w:rPr>
          <w:sz w:val="20"/>
          <w:szCs w:val="20"/>
          <w:color w:val="auto"/>
        </w:rPr>
      </w:pPr>
    </w:p>
    <w:p>
      <w:pPr>
        <w:ind w:left="320" w:right="1120"/>
        <w:spacing w:after="0" w:line="268" w:lineRule="auto"/>
        <w:rPr>
          <w:sz w:val="20"/>
          <w:szCs w:val="20"/>
          <w:color w:val="auto"/>
        </w:rPr>
      </w:pPr>
      <w:r>
        <w:rPr>
          <w:rFonts w:ascii="Arial" w:cs="Arial" w:eastAsia="Arial" w:hAnsi="Arial"/>
          <w:sz w:val="18"/>
          <w:szCs w:val="18"/>
          <w:color w:val="auto"/>
        </w:rPr>
        <w:t>Vice President, Finance (principal financial and accounting officer)</w:t>
      </w:r>
    </w:p>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of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60" w:space="720"/>
            <w:col w:w="5600"/>
          </w:cols>
          <w:pgMar w:left="240" w:top="131" w:right="47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Securities Act, the undersigned, the duly authorized representative in the United States of Weibo Corporation, has signed this registration statement in Newark, Delaware on June 20,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U.S. Representative</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Donald J. Puglisi</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4500" w:hanging="473"/>
        <w:spacing w:after="0"/>
        <w:tabs>
          <w:tab w:leader="none" w:pos="4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2019</w:t>
      </w:r>
    </w:p>
    <w:p>
      <w:pPr>
        <w:spacing w:after="0" w:line="225" w:lineRule="exact"/>
        <w:rPr>
          <w:rFonts w:ascii="Arial" w:cs="Arial" w:eastAsia="Arial" w:hAnsi="Arial"/>
          <w:sz w:val="18"/>
          <w:szCs w:val="18"/>
          <w:b w:val="1"/>
          <w:bCs w:val="1"/>
          <w:color w:val="auto"/>
        </w:rPr>
      </w:pPr>
    </w:p>
    <w:p>
      <w:pPr>
        <w:ind w:left="41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WEIBO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223520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5880" w:type="dxa"/>
            <w:vAlign w:val="bottom"/>
            <w:gridSpan w:val="2"/>
          </w:tcPr>
          <w:p>
            <w:pPr>
              <w:ind w:left="2800"/>
              <w:spacing w:after="0"/>
              <w:rPr>
                <w:sz w:val="20"/>
                <w:szCs w:val="20"/>
                <w:color w:val="auto"/>
              </w:rPr>
            </w:pPr>
            <w:r>
              <w:rPr>
                <w:rFonts w:ascii="Arial" w:cs="Arial" w:eastAsia="Arial" w:hAnsi="Arial"/>
                <w:sz w:val="18"/>
                <w:szCs w:val="18"/>
                <w:b w:val="1"/>
                <w:bCs w:val="1"/>
                <w:color w:val="auto"/>
              </w:rPr>
              <w:t>WEIBO CORPORATION</w:t>
            </w:r>
          </w:p>
        </w:tc>
        <w:tc>
          <w:tcPr>
            <w:tcW w:w="9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514"/>
        </w:trPr>
        <w:tc>
          <w:tcPr>
            <w:tcW w:w="1900" w:type="dxa"/>
            <w:vAlign w:val="bottom"/>
          </w:tcPr>
          <w:p>
            <w:pPr>
              <w:spacing w:after="0"/>
              <w:rPr>
                <w:sz w:val="24"/>
                <w:szCs w:val="24"/>
                <w:color w:val="auto"/>
              </w:rPr>
            </w:pPr>
          </w:p>
        </w:tc>
        <w:tc>
          <w:tcPr>
            <w:tcW w:w="6820" w:type="dxa"/>
            <w:vAlign w:val="bottom"/>
            <w:gridSpan w:val="3"/>
          </w:tcPr>
          <w:p>
            <w:pPr>
              <w:ind w:left="180"/>
              <w:spacing w:after="0"/>
              <w:rPr>
                <w:sz w:val="20"/>
                <w:szCs w:val="20"/>
                <w:color w:val="auto"/>
              </w:rPr>
            </w:pPr>
            <w:r>
              <w:rPr>
                <w:rFonts w:ascii="Arial" w:cs="Arial" w:eastAsia="Arial" w:hAnsi="Arial"/>
                <w:sz w:val="18"/>
                <w:szCs w:val="18"/>
                <w:color w:val="auto"/>
                <w:w w:val="92"/>
              </w:rPr>
              <w:t>Reconciliation and tie between Trust Indenture Act of 1939 and the Indenture, dated as of</w:t>
            </w:r>
          </w:p>
        </w:tc>
        <w:tc>
          <w:tcPr>
            <w:tcW w:w="2700" w:type="dxa"/>
            <w:vAlign w:val="bottom"/>
          </w:tcPr>
          <w:p>
            <w:pPr>
              <w:jc w:val="right"/>
              <w:ind w:right="1979"/>
              <w:spacing w:after="0"/>
              <w:rPr>
                <w:sz w:val="20"/>
                <w:szCs w:val="20"/>
                <w:color w:val="auto"/>
              </w:rPr>
            </w:pPr>
            <w:r>
              <w:rPr>
                <w:rFonts w:ascii="Arial" w:cs="Arial" w:eastAsia="Arial" w:hAnsi="Arial"/>
                <w:sz w:val="18"/>
                <w:szCs w:val="18"/>
                <w:color w:val="auto"/>
              </w:rPr>
              <w:t>, 2019</w:t>
            </w:r>
            <w:r>
              <w:rPr>
                <w:rFonts w:ascii="Arial" w:cs="Arial" w:eastAsia="Arial" w:hAnsi="Arial"/>
                <w:sz w:val="23"/>
                <w:szCs w:val="23"/>
                <w:color w:val="auto"/>
                <w:vertAlign w:val="superscript"/>
              </w:rPr>
              <w:t>1</w:t>
            </w:r>
          </w:p>
        </w:tc>
      </w:tr>
      <w:tr>
        <w:trPr>
          <w:trHeight w:val="282"/>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Trust Indenture Act Section</w:t>
            </w:r>
          </w:p>
        </w:tc>
        <w:tc>
          <w:tcPr>
            <w:tcW w:w="558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199"/>
              <w:spacing w:after="0"/>
              <w:rPr>
                <w:sz w:val="20"/>
                <w:szCs w:val="20"/>
                <w:color w:val="auto"/>
              </w:rPr>
            </w:pPr>
            <w:r>
              <w:rPr>
                <w:rFonts w:ascii="Arial" w:cs="Arial" w:eastAsia="Arial" w:hAnsi="Arial"/>
                <w:sz w:val="14"/>
                <w:szCs w:val="14"/>
                <w:b w:val="1"/>
                <w:bCs w:val="1"/>
                <w:color w:val="auto"/>
              </w:rPr>
              <w:t>Indenture Section</w:t>
            </w: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Sec. 310</w:t>
            </w:r>
          </w:p>
        </w:tc>
        <w:tc>
          <w:tcPr>
            <w:tcW w:w="55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(a)(1)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11.04(a)</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(a)(2)</w:t>
            </w:r>
          </w:p>
        </w:tc>
        <w:tc>
          <w:tcPr>
            <w:tcW w:w="940" w:type="dxa"/>
            <w:vAlign w:val="bottom"/>
          </w:tcPr>
          <w:p>
            <w:pPr>
              <w:spacing w:after="0"/>
              <w:rPr>
                <w:sz w:val="20"/>
                <w:szCs w:val="20"/>
                <w:color w:val="auto"/>
              </w:rPr>
            </w:pPr>
            <w:r>
              <w:rPr>
                <w:rFonts w:ascii="Arial" w:cs="Arial" w:eastAsia="Arial" w:hAnsi="Arial"/>
                <w:sz w:val="18"/>
                <w:szCs w:val="18"/>
                <w:color w:val="auto"/>
              </w:rPr>
              <w:t>11.04(a)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(a)(3)</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TIA</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(a)(4)</w:t>
            </w:r>
          </w:p>
        </w:tc>
        <w:tc>
          <w:tcPr>
            <w:tcW w:w="940" w:type="dxa"/>
            <w:vAlign w:val="bottom"/>
          </w:tcPr>
          <w:p>
            <w:pPr>
              <w:spacing w:after="0"/>
              <w:rPr>
                <w:sz w:val="20"/>
                <w:szCs w:val="20"/>
                <w:color w:val="auto"/>
              </w:rPr>
            </w:pPr>
            <w:r>
              <w:rPr>
                <w:rFonts w:ascii="Arial" w:cs="Arial" w:eastAsia="Arial" w:hAnsi="Arial"/>
                <w:sz w:val="18"/>
                <w:szCs w:val="18"/>
                <w:color w:val="auto"/>
              </w:rPr>
              <w:t>N.A.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(a)(5)</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TIA</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(b)</w:t>
            </w:r>
          </w:p>
        </w:tc>
        <w:tc>
          <w:tcPr>
            <w:tcW w:w="3640" w:type="dxa"/>
            <w:vAlign w:val="bottom"/>
            <w:gridSpan w:val="2"/>
          </w:tcPr>
          <w:p>
            <w:pPr>
              <w:spacing w:after="0"/>
              <w:rPr>
                <w:sz w:val="20"/>
                <w:szCs w:val="20"/>
                <w:color w:val="auto"/>
              </w:rPr>
            </w:pPr>
            <w:r>
              <w:rPr>
                <w:rFonts w:ascii="Arial" w:cs="Arial" w:eastAsia="Arial" w:hAnsi="Arial"/>
                <w:sz w:val="18"/>
                <w:szCs w:val="18"/>
                <w:color w:val="auto"/>
              </w:rPr>
              <w:t>11.04(b); 11.05</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Sec. 311</w:t>
            </w: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11.01(f)</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(b)</w:t>
            </w:r>
          </w:p>
        </w:tc>
        <w:tc>
          <w:tcPr>
            <w:tcW w:w="940" w:type="dxa"/>
            <w:vAlign w:val="bottom"/>
          </w:tcPr>
          <w:p>
            <w:pPr>
              <w:spacing w:after="0"/>
              <w:rPr>
                <w:sz w:val="20"/>
                <w:szCs w:val="20"/>
                <w:color w:val="auto"/>
              </w:rPr>
            </w:pPr>
            <w:r>
              <w:rPr>
                <w:rFonts w:ascii="Arial" w:cs="Arial" w:eastAsia="Arial" w:hAnsi="Arial"/>
                <w:sz w:val="18"/>
                <w:szCs w:val="18"/>
                <w:color w:val="auto"/>
              </w:rPr>
              <w:t>11.1; 11.04</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Sec. 312</w:t>
            </w: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10.03</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(b)</w:t>
            </w:r>
          </w:p>
        </w:tc>
        <w:tc>
          <w:tcPr>
            <w:tcW w:w="940" w:type="dxa"/>
            <w:vAlign w:val="bottom"/>
          </w:tcPr>
          <w:p>
            <w:pPr>
              <w:spacing w:after="0"/>
              <w:rPr>
                <w:sz w:val="20"/>
                <w:szCs w:val="20"/>
                <w:color w:val="auto"/>
              </w:rPr>
            </w:pPr>
            <w:r>
              <w:rPr>
                <w:rFonts w:ascii="Arial" w:cs="Arial" w:eastAsia="Arial" w:hAnsi="Arial"/>
                <w:sz w:val="18"/>
                <w:szCs w:val="18"/>
                <w:color w:val="auto"/>
              </w:rPr>
              <w:t>11.10</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11.10</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Sec. 313</w:t>
            </w: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(a)</w:t>
            </w:r>
          </w:p>
        </w:tc>
        <w:tc>
          <w:tcPr>
            <w:tcW w:w="940" w:type="dxa"/>
            <w:vAlign w:val="bottom"/>
          </w:tcPr>
          <w:p>
            <w:pPr>
              <w:spacing w:after="0"/>
              <w:rPr>
                <w:sz w:val="20"/>
                <w:szCs w:val="20"/>
                <w:color w:val="auto"/>
              </w:rPr>
            </w:pPr>
            <w:r>
              <w:rPr>
                <w:rFonts w:ascii="Arial" w:cs="Arial" w:eastAsia="Arial" w:hAnsi="Arial"/>
                <w:sz w:val="18"/>
                <w:szCs w:val="18"/>
                <w:color w:val="auto"/>
              </w:rPr>
              <w:t>10.01(a)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(b)(1)</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10.01(a)</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(b)(2)</w:t>
            </w:r>
          </w:p>
        </w:tc>
        <w:tc>
          <w:tcPr>
            <w:tcW w:w="940" w:type="dxa"/>
            <w:vAlign w:val="bottom"/>
          </w:tcPr>
          <w:p>
            <w:pPr>
              <w:spacing w:after="0"/>
              <w:rPr>
                <w:sz w:val="20"/>
                <w:szCs w:val="20"/>
                <w:color w:val="auto"/>
              </w:rPr>
            </w:pPr>
            <w:r>
              <w:rPr>
                <w:rFonts w:ascii="Arial" w:cs="Arial" w:eastAsia="Arial" w:hAnsi="Arial"/>
                <w:sz w:val="18"/>
                <w:szCs w:val="18"/>
                <w:color w:val="auto"/>
              </w:rPr>
              <w:t>10.01(b)</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10.01(b)</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(d)</w:t>
            </w:r>
          </w:p>
        </w:tc>
        <w:tc>
          <w:tcPr>
            <w:tcW w:w="940" w:type="dxa"/>
            <w:vAlign w:val="bottom"/>
          </w:tcPr>
          <w:p>
            <w:pPr>
              <w:spacing w:after="0"/>
              <w:rPr>
                <w:sz w:val="20"/>
                <w:szCs w:val="20"/>
                <w:color w:val="auto"/>
              </w:rPr>
            </w:pPr>
            <w:r>
              <w:rPr>
                <w:rFonts w:ascii="Arial" w:cs="Arial" w:eastAsia="Arial" w:hAnsi="Arial"/>
                <w:sz w:val="18"/>
                <w:szCs w:val="18"/>
                <w:color w:val="auto"/>
              </w:rPr>
              <w:t>10.01(b)</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Sec. 314</w:t>
            </w: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10.02; 6.07</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(b)</w:t>
            </w:r>
          </w:p>
        </w:tc>
        <w:tc>
          <w:tcPr>
            <w:tcW w:w="940" w:type="dxa"/>
            <w:vAlign w:val="bottom"/>
          </w:tcPr>
          <w:p>
            <w:pPr>
              <w:spacing w:after="0"/>
              <w:rPr>
                <w:sz w:val="20"/>
                <w:szCs w:val="20"/>
                <w:color w:val="auto"/>
              </w:rPr>
            </w:pPr>
            <w:r>
              <w:rPr>
                <w:rFonts w:ascii="Arial" w:cs="Arial" w:eastAsia="Arial" w:hAnsi="Arial"/>
                <w:sz w:val="18"/>
                <w:szCs w:val="18"/>
                <w:color w:val="auto"/>
              </w:rPr>
              <w:t>N.A.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16.01(a)</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(c)(2)</w:t>
            </w:r>
          </w:p>
        </w:tc>
        <w:tc>
          <w:tcPr>
            <w:tcW w:w="940" w:type="dxa"/>
            <w:vAlign w:val="bottom"/>
          </w:tcPr>
          <w:p>
            <w:pPr>
              <w:spacing w:after="0"/>
              <w:rPr>
                <w:sz w:val="20"/>
                <w:szCs w:val="20"/>
                <w:color w:val="auto"/>
              </w:rPr>
            </w:pPr>
            <w:r>
              <w:rPr>
                <w:rFonts w:ascii="Arial" w:cs="Arial" w:eastAsia="Arial" w:hAnsi="Arial"/>
                <w:sz w:val="18"/>
                <w:szCs w:val="18"/>
                <w:color w:val="auto"/>
              </w:rPr>
              <w:t>16.01(a)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(c)(3)</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(d)</w:t>
            </w:r>
          </w:p>
        </w:tc>
        <w:tc>
          <w:tcPr>
            <w:tcW w:w="940" w:type="dxa"/>
            <w:vAlign w:val="bottom"/>
          </w:tcPr>
          <w:p>
            <w:pPr>
              <w:spacing w:after="0"/>
              <w:rPr>
                <w:sz w:val="20"/>
                <w:szCs w:val="20"/>
                <w:color w:val="auto"/>
              </w:rPr>
            </w:pPr>
            <w:r>
              <w:rPr>
                <w:rFonts w:ascii="Arial" w:cs="Arial" w:eastAsia="Arial" w:hAnsi="Arial"/>
                <w:sz w:val="18"/>
                <w:szCs w:val="18"/>
                <w:color w:val="auto"/>
              </w:rPr>
              <w:t>N.A.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(e)</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16.01(b)</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(f)</w:t>
            </w:r>
          </w:p>
        </w:tc>
        <w:tc>
          <w:tcPr>
            <w:tcW w:w="940" w:type="dxa"/>
            <w:vAlign w:val="bottom"/>
          </w:tcPr>
          <w:p>
            <w:pPr>
              <w:spacing w:after="0"/>
              <w:rPr>
                <w:sz w:val="20"/>
                <w:szCs w:val="20"/>
                <w:color w:val="auto"/>
              </w:rPr>
            </w:pPr>
            <w:r>
              <w:rPr>
                <w:rFonts w:ascii="Arial" w:cs="Arial" w:eastAsia="Arial" w:hAnsi="Arial"/>
                <w:sz w:val="18"/>
                <w:szCs w:val="18"/>
                <w:color w:val="auto"/>
              </w:rPr>
              <w:t>N.A.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Sec. 315</w:t>
            </w: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(a)(1)</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11.02(b)(i)</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(a)(2)</w:t>
            </w:r>
          </w:p>
        </w:tc>
        <w:tc>
          <w:tcPr>
            <w:tcW w:w="940" w:type="dxa"/>
            <w:vAlign w:val="bottom"/>
          </w:tcPr>
          <w:p>
            <w:pPr>
              <w:spacing w:after="0"/>
              <w:rPr>
                <w:sz w:val="20"/>
                <w:szCs w:val="20"/>
                <w:color w:val="auto"/>
              </w:rPr>
            </w:pPr>
            <w:r>
              <w:rPr>
                <w:rFonts w:ascii="Arial" w:cs="Arial" w:eastAsia="Arial" w:hAnsi="Arial"/>
                <w:sz w:val="18"/>
                <w:szCs w:val="18"/>
                <w:color w:val="auto"/>
              </w:rPr>
              <w:t>11.02(b)(ii)</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11.03</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(c)</w:t>
            </w:r>
          </w:p>
        </w:tc>
        <w:tc>
          <w:tcPr>
            <w:tcW w:w="940" w:type="dxa"/>
            <w:vAlign w:val="bottom"/>
          </w:tcPr>
          <w:p>
            <w:pPr>
              <w:spacing w:after="0"/>
              <w:rPr>
                <w:sz w:val="20"/>
                <w:szCs w:val="20"/>
                <w:color w:val="auto"/>
              </w:rPr>
            </w:pPr>
            <w:r>
              <w:rPr>
                <w:rFonts w:ascii="Arial" w:cs="Arial" w:eastAsia="Arial" w:hAnsi="Arial"/>
                <w:sz w:val="18"/>
                <w:szCs w:val="18"/>
                <w:color w:val="auto"/>
              </w:rPr>
              <w:t>11.02(a)</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(d)</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11.02(c)</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(e)</w:t>
            </w:r>
          </w:p>
        </w:tc>
        <w:tc>
          <w:tcPr>
            <w:tcW w:w="940" w:type="dxa"/>
            <w:vAlign w:val="bottom"/>
          </w:tcPr>
          <w:p>
            <w:pPr>
              <w:spacing w:after="0"/>
              <w:rPr>
                <w:sz w:val="20"/>
                <w:szCs w:val="20"/>
                <w:color w:val="auto"/>
              </w:rPr>
            </w:pPr>
            <w:r>
              <w:rPr>
                <w:rFonts w:ascii="Arial" w:cs="Arial" w:eastAsia="Arial" w:hAnsi="Arial"/>
                <w:sz w:val="18"/>
                <w:szCs w:val="18"/>
                <w:color w:val="auto"/>
              </w:rPr>
              <w:t>7.08</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Sec. 316</w:t>
            </w: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(a)(last sentence)</w:t>
            </w: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 (definition of “Outstanding”)</w:t>
            </w: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(a)(1)(A)</w:t>
            </w:r>
          </w:p>
        </w:tc>
        <w:tc>
          <w:tcPr>
            <w:tcW w:w="940" w:type="dxa"/>
            <w:vAlign w:val="bottom"/>
          </w:tcPr>
          <w:p>
            <w:pPr>
              <w:spacing w:after="0"/>
              <w:rPr>
                <w:sz w:val="20"/>
                <w:szCs w:val="20"/>
                <w:color w:val="auto"/>
              </w:rPr>
            </w:pPr>
            <w:r>
              <w:rPr>
                <w:rFonts w:ascii="Arial" w:cs="Arial" w:eastAsia="Arial" w:hAnsi="Arial"/>
                <w:sz w:val="18"/>
                <w:szCs w:val="18"/>
                <w:color w:val="auto"/>
              </w:rPr>
              <w:t>7.06</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(a)(1)(B)</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7.06</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(b)</w:t>
            </w:r>
          </w:p>
        </w:tc>
        <w:tc>
          <w:tcPr>
            <w:tcW w:w="940" w:type="dxa"/>
            <w:vAlign w:val="bottom"/>
          </w:tcPr>
          <w:p>
            <w:pPr>
              <w:spacing w:after="0"/>
              <w:rPr>
                <w:sz w:val="20"/>
                <w:szCs w:val="20"/>
                <w:color w:val="auto"/>
              </w:rPr>
            </w:pPr>
            <w:r>
              <w:rPr>
                <w:rFonts w:ascii="Arial" w:cs="Arial" w:eastAsia="Arial" w:hAnsi="Arial"/>
                <w:sz w:val="18"/>
                <w:szCs w:val="18"/>
                <w:color w:val="auto"/>
              </w:rPr>
              <w:t>7.07</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(c)</w:t>
            </w: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8.02(e); 14.02(d)</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Sec. 317</w:t>
            </w: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(a)(1)</w:t>
            </w:r>
          </w:p>
        </w:tc>
        <w:tc>
          <w:tcPr>
            <w:tcW w:w="940" w:type="dxa"/>
            <w:vAlign w:val="bottom"/>
          </w:tcPr>
          <w:p>
            <w:pPr>
              <w:spacing w:after="0"/>
              <w:rPr>
                <w:sz w:val="20"/>
                <w:szCs w:val="20"/>
                <w:color w:val="auto"/>
              </w:rPr>
            </w:pPr>
            <w:r>
              <w:rPr>
                <w:rFonts w:ascii="Arial" w:cs="Arial" w:eastAsia="Arial" w:hAnsi="Arial"/>
                <w:sz w:val="18"/>
                <w:szCs w:val="18"/>
                <w:color w:val="auto"/>
              </w:rPr>
              <w:t>7.04</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(a)(2)</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7.04</w:t>
            </w:r>
          </w:p>
        </w:tc>
        <w:tc>
          <w:tcPr>
            <w:tcW w:w="270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880" w:type="dxa"/>
            <w:vAlign w:val="bottom"/>
            <w:gridSpan w:val="2"/>
          </w:tcPr>
          <w:p>
            <w:pPr>
              <w:ind w:left="1940"/>
              <w:spacing w:after="0"/>
              <w:rPr>
                <w:sz w:val="20"/>
                <w:szCs w:val="20"/>
                <w:color w:val="auto"/>
              </w:rPr>
            </w:pPr>
            <w:r>
              <w:rPr>
                <w:rFonts w:ascii="Arial" w:cs="Arial" w:eastAsia="Arial" w:hAnsi="Arial"/>
                <w:sz w:val="18"/>
                <w:szCs w:val="18"/>
                <w:color w:val="auto"/>
              </w:rPr>
              <w:t>(b)</w:t>
            </w:r>
          </w:p>
        </w:tc>
        <w:tc>
          <w:tcPr>
            <w:tcW w:w="940" w:type="dxa"/>
            <w:vAlign w:val="bottom"/>
          </w:tcPr>
          <w:p>
            <w:pPr>
              <w:spacing w:after="0"/>
              <w:rPr>
                <w:sz w:val="20"/>
                <w:szCs w:val="20"/>
                <w:color w:val="auto"/>
              </w:rPr>
            </w:pPr>
            <w:r>
              <w:rPr>
                <w:rFonts w:ascii="Arial" w:cs="Arial" w:eastAsia="Arial" w:hAnsi="Arial"/>
                <w:sz w:val="18"/>
                <w:szCs w:val="18"/>
                <w:color w:val="auto"/>
              </w:rPr>
              <w:t>6.03</w:t>
            </w:r>
          </w:p>
        </w:tc>
        <w:tc>
          <w:tcPr>
            <w:tcW w:w="27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Sec. 318</w:t>
            </w:r>
          </w:p>
        </w:tc>
        <w:tc>
          <w:tcPr>
            <w:tcW w:w="58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16.02</w:t>
            </w:r>
          </w:p>
        </w:tc>
        <w:tc>
          <w:tcPr>
            <w:tcW w:w="27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80" w:right="4320" w:hanging="5672"/>
        <w:spacing w:after="0" w:line="461" w:lineRule="auto"/>
        <w:tabs>
          <w:tab w:leader="none" w:pos="147"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Note: This reconciliation and tie shall not be deemed to be part of the indenture for any purpose.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946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365"/>
        </w:trPr>
        <w:tc>
          <w:tcPr>
            <w:tcW w:w="94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426"/>
        </w:trPr>
        <w:tc>
          <w:tcPr>
            <w:tcW w:w="94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9"/>
              </w:rPr>
              <w:t>ARTICLE I</w:t>
            </w:r>
          </w:p>
        </w:tc>
        <w:tc>
          <w:tcPr>
            <w:tcW w:w="10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9460" w:type="dxa"/>
            <w:vAlign w:val="bottom"/>
          </w:tcPr>
          <w:p>
            <w:pPr>
              <w:jc w:val="center"/>
              <w:ind w:left="10"/>
              <w:spacing w:after="0"/>
              <w:rPr>
                <w:sz w:val="20"/>
                <w:szCs w:val="20"/>
                <w:color w:val="auto"/>
              </w:rPr>
            </w:pPr>
            <w:r>
              <w:rPr>
                <w:rFonts w:ascii="Arial" w:cs="Arial" w:eastAsia="Arial" w:hAnsi="Arial"/>
                <w:sz w:val="18"/>
                <w:szCs w:val="18"/>
                <w:color w:val="auto"/>
                <w:w w:val="98"/>
              </w:rPr>
              <w:t>DEFINITIONS</w:t>
            </w:r>
          </w:p>
        </w:tc>
        <w:tc>
          <w:tcPr>
            <w:tcW w:w="102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w w:val="91"/>
              </w:rPr>
              <w:t>Section 1.01</w:t>
            </w:r>
          </w:p>
        </w:tc>
        <w:tc>
          <w:tcPr>
            <w:tcW w:w="946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1"/>
              </w:rPr>
              <w:t>Section 1.02</w:t>
            </w:r>
          </w:p>
        </w:tc>
        <w:tc>
          <w:tcPr>
            <w:tcW w:w="946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940" w:type="dxa"/>
            <w:vAlign w:val="bottom"/>
          </w:tcPr>
          <w:p>
            <w:pPr>
              <w:spacing w:after="0"/>
              <w:rPr>
                <w:sz w:val="24"/>
                <w:szCs w:val="24"/>
                <w:color w:val="auto"/>
              </w:rPr>
            </w:pPr>
          </w:p>
        </w:tc>
        <w:tc>
          <w:tcPr>
            <w:tcW w:w="9460" w:type="dxa"/>
            <w:vAlign w:val="bottom"/>
          </w:tcPr>
          <w:p>
            <w:pPr>
              <w:jc w:val="center"/>
              <w:ind w:left="10"/>
              <w:spacing w:after="0"/>
              <w:rPr>
                <w:sz w:val="20"/>
                <w:szCs w:val="20"/>
                <w:color w:val="auto"/>
              </w:rPr>
            </w:pPr>
            <w:r>
              <w:rPr>
                <w:rFonts w:ascii="Arial" w:cs="Arial" w:eastAsia="Arial" w:hAnsi="Arial"/>
                <w:sz w:val="18"/>
                <w:szCs w:val="18"/>
                <w:color w:val="auto"/>
              </w:rPr>
              <w:t>ARTICLE II</w:t>
            </w:r>
          </w:p>
        </w:tc>
        <w:tc>
          <w:tcPr>
            <w:tcW w:w="10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3"/>
              </w:rPr>
              <w:t>FORMS OF SECURITIES</w:t>
            </w:r>
          </w:p>
        </w:tc>
        <w:tc>
          <w:tcPr>
            <w:tcW w:w="1020" w:type="dxa"/>
            <w:vAlign w:val="bottom"/>
          </w:tcPr>
          <w:p>
            <w:pPr>
              <w:spacing w:after="0"/>
              <w:rPr>
                <w:sz w:val="24"/>
                <w:szCs w:val="24"/>
                <w:color w:val="auto"/>
              </w:rPr>
            </w:pPr>
          </w:p>
        </w:tc>
      </w:tr>
      <w:tr>
        <w:trPr>
          <w:trHeight w:val="418"/>
        </w:trPr>
        <w:tc>
          <w:tcPr>
            <w:tcW w:w="10400" w:type="dxa"/>
            <w:vAlign w:val="bottom"/>
            <w:gridSpan w:val="2"/>
          </w:tcPr>
          <w:p>
            <w:pPr>
              <w:spacing w:after="0"/>
              <w:rPr>
                <w:sz w:val="20"/>
                <w:szCs w:val="20"/>
                <w:color w:val="auto"/>
              </w:rPr>
            </w:pPr>
            <w:r>
              <w:rPr>
                <w:rFonts w:ascii="Arial" w:cs="Arial" w:eastAsia="Arial" w:hAnsi="Arial"/>
                <w:sz w:val="18"/>
                <w:szCs w:val="18"/>
                <w:color w:val="auto"/>
              </w:rPr>
              <w:t>Section 2.01 Form Generally</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2.02</w:t>
            </w:r>
          </w:p>
        </w:tc>
        <w:tc>
          <w:tcPr>
            <w:tcW w:w="9460" w:type="dxa"/>
            <w:vAlign w:val="bottom"/>
          </w:tcPr>
          <w:p>
            <w:pPr>
              <w:ind w:left="60"/>
              <w:spacing w:after="0"/>
              <w:rPr>
                <w:sz w:val="20"/>
                <w:szCs w:val="20"/>
                <w:color w:val="auto"/>
              </w:rPr>
            </w:pPr>
            <w:r>
              <w:rPr>
                <w:rFonts w:ascii="Arial" w:cs="Arial" w:eastAsia="Arial" w:hAnsi="Arial"/>
                <w:sz w:val="18"/>
                <w:szCs w:val="18"/>
                <w:color w:val="auto"/>
              </w:rPr>
              <w:t>Form of Trustee’s Certificate of Authentication</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1"/>
              </w:rPr>
              <w:t>Section 2.03</w:t>
            </w:r>
          </w:p>
        </w:tc>
        <w:tc>
          <w:tcPr>
            <w:tcW w:w="9460" w:type="dxa"/>
            <w:vAlign w:val="bottom"/>
          </w:tcPr>
          <w:p>
            <w:pPr>
              <w:ind w:left="60"/>
              <w:spacing w:after="0"/>
              <w:rPr>
                <w:sz w:val="20"/>
                <w:szCs w:val="20"/>
                <w:color w:val="auto"/>
              </w:rPr>
            </w:pPr>
            <w:r>
              <w:rPr>
                <w:rFonts w:ascii="Arial" w:cs="Arial" w:eastAsia="Arial" w:hAnsi="Arial"/>
                <w:sz w:val="18"/>
                <w:szCs w:val="18"/>
                <w:color w:val="auto"/>
              </w:rPr>
              <w:t>Form of Trustee’s Certificate of Authentication by an Authenticating Agent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94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rPr>
              <w:t>ARTICLE III</w:t>
            </w:r>
          </w:p>
        </w:tc>
        <w:tc>
          <w:tcPr>
            <w:tcW w:w="10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5"/>
              </w:rPr>
              <w:t>THE DEBT SECURITIES</w:t>
            </w:r>
          </w:p>
        </w:tc>
        <w:tc>
          <w:tcPr>
            <w:tcW w:w="102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w w:val="91"/>
              </w:rPr>
              <w:t>Section 3.01</w:t>
            </w:r>
          </w:p>
        </w:tc>
        <w:tc>
          <w:tcPr>
            <w:tcW w:w="9460" w:type="dxa"/>
            <w:vAlign w:val="bottom"/>
          </w:tcPr>
          <w:p>
            <w:pPr>
              <w:ind w:left="60"/>
              <w:spacing w:after="0"/>
              <w:rPr>
                <w:sz w:val="20"/>
                <w:szCs w:val="20"/>
                <w:color w:val="auto"/>
              </w:rPr>
            </w:pPr>
            <w:r>
              <w:rPr>
                <w:rFonts w:ascii="Arial" w:cs="Arial" w:eastAsia="Arial" w:hAnsi="Arial"/>
                <w:sz w:val="18"/>
                <w:szCs w:val="18"/>
                <w:color w:val="auto"/>
              </w:rPr>
              <w:t>Amount Unlimited; Issuable in Series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Section 3.02 Denominations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3.03</w:t>
            </w:r>
          </w:p>
        </w:tc>
        <w:tc>
          <w:tcPr>
            <w:tcW w:w="9460" w:type="dxa"/>
            <w:vAlign w:val="bottom"/>
          </w:tcPr>
          <w:p>
            <w:pPr>
              <w:ind w:left="60"/>
              <w:spacing w:after="0"/>
              <w:rPr>
                <w:sz w:val="20"/>
                <w:szCs w:val="20"/>
                <w:color w:val="auto"/>
              </w:rPr>
            </w:pPr>
            <w:r>
              <w:rPr>
                <w:rFonts w:ascii="Arial" w:cs="Arial" w:eastAsia="Arial" w:hAnsi="Arial"/>
                <w:sz w:val="18"/>
                <w:szCs w:val="18"/>
                <w:color w:val="auto"/>
              </w:rPr>
              <w:t>Execution, Authentication, Delivery and Dating</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3.04</w:t>
            </w:r>
          </w:p>
        </w:tc>
        <w:tc>
          <w:tcPr>
            <w:tcW w:w="9460" w:type="dxa"/>
            <w:vAlign w:val="bottom"/>
          </w:tcPr>
          <w:p>
            <w:pPr>
              <w:ind w:left="60"/>
              <w:spacing w:after="0"/>
              <w:rPr>
                <w:sz w:val="20"/>
                <w:szCs w:val="20"/>
                <w:color w:val="auto"/>
              </w:rPr>
            </w:pPr>
            <w:r>
              <w:rPr>
                <w:rFonts w:ascii="Arial" w:cs="Arial" w:eastAsia="Arial" w:hAnsi="Arial"/>
                <w:sz w:val="18"/>
                <w:szCs w:val="18"/>
                <w:color w:val="auto"/>
              </w:rPr>
              <w:t>Temporary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3.05</w:t>
            </w:r>
          </w:p>
        </w:tc>
        <w:tc>
          <w:tcPr>
            <w:tcW w:w="9460" w:type="dxa"/>
            <w:vAlign w:val="bottom"/>
          </w:tcPr>
          <w:p>
            <w:pPr>
              <w:ind w:left="60"/>
              <w:spacing w:after="0"/>
              <w:rPr>
                <w:sz w:val="20"/>
                <w:szCs w:val="20"/>
                <w:color w:val="auto"/>
              </w:rPr>
            </w:pPr>
            <w:r>
              <w:rPr>
                <w:rFonts w:ascii="Arial" w:cs="Arial" w:eastAsia="Arial" w:hAnsi="Arial"/>
                <w:sz w:val="18"/>
                <w:szCs w:val="18"/>
                <w:color w:val="auto"/>
              </w:rPr>
              <w:t>Registrar</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3.06</w:t>
            </w:r>
          </w:p>
        </w:tc>
        <w:tc>
          <w:tcPr>
            <w:tcW w:w="9460" w:type="dxa"/>
            <w:vAlign w:val="bottom"/>
          </w:tcPr>
          <w:p>
            <w:pPr>
              <w:ind w:left="60"/>
              <w:spacing w:after="0"/>
              <w:rPr>
                <w:sz w:val="20"/>
                <w:szCs w:val="20"/>
                <w:color w:val="auto"/>
              </w:rPr>
            </w:pPr>
            <w:r>
              <w:rPr>
                <w:rFonts w:ascii="Arial" w:cs="Arial" w:eastAsia="Arial" w:hAnsi="Arial"/>
                <w:sz w:val="18"/>
                <w:szCs w:val="18"/>
                <w:color w:val="auto"/>
              </w:rPr>
              <w:t>Transfer and Exchange</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3.07</w:t>
            </w:r>
          </w:p>
        </w:tc>
        <w:tc>
          <w:tcPr>
            <w:tcW w:w="9460" w:type="dxa"/>
            <w:vAlign w:val="bottom"/>
          </w:tcPr>
          <w:p>
            <w:pPr>
              <w:ind w:left="60"/>
              <w:spacing w:after="0"/>
              <w:rPr>
                <w:sz w:val="20"/>
                <w:szCs w:val="20"/>
                <w:color w:val="auto"/>
              </w:rPr>
            </w:pPr>
            <w:r>
              <w:rPr>
                <w:rFonts w:ascii="Arial" w:cs="Arial" w:eastAsia="Arial" w:hAnsi="Arial"/>
                <w:sz w:val="18"/>
                <w:szCs w:val="18"/>
                <w:color w:val="auto"/>
              </w:rPr>
              <w:t>Mutilated, Destroyed, Lost and Stolen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3.08</w:t>
            </w:r>
          </w:p>
        </w:tc>
        <w:tc>
          <w:tcPr>
            <w:tcW w:w="9460" w:type="dxa"/>
            <w:vAlign w:val="bottom"/>
          </w:tcPr>
          <w:p>
            <w:pPr>
              <w:ind w:left="60"/>
              <w:spacing w:after="0"/>
              <w:rPr>
                <w:sz w:val="20"/>
                <w:szCs w:val="20"/>
                <w:color w:val="auto"/>
              </w:rPr>
            </w:pPr>
            <w:r>
              <w:rPr>
                <w:rFonts w:ascii="Arial" w:cs="Arial" w:eastAsia="Arial" w:hAnsi="Arial"/>
                <w:sz w:val="18"/>
                <w:szCs w:val="18"/>
                <w:color w:val="auto"/>
              </w:rPr>
              <w:t>Payment of Interest; Interest Rights Preserved</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3.09</w:t>
            </w:r>
          </w:p>
        </w:tc>
        <w:tc>
          <w:tcPr>
            <w:tcW w:w="9460" w:type="dxa"/>
            <w:vAlign w:val="bottom"/>
          </w:tcPr>
          <w:p>
            <w:pPr>
              <w:ind w:left="60"/>
              <w:spacing w:after="0"/>
              <w:rPr>
                <w:sz w:val="20"/>
                <w:szCs w:val="20"/>
                <w:color w:val="auto"/>
              </w:rPr>
            </w:pPr>
            <w:r>
              <w:rPr>
                <w:rFonts w:ascii="Arial" w:cs="Arial" w:eastAsia="Arial" w:hAnsi="Arial"/>
                <w:sz w:val="18"/>
                <w:szCs w:val="18"/>
                <w:color w:val="auto"/>
              </w:rPr>
              <w:t>Cancellation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3.10</w:t>
            </w:r>
          </w:p>
        </w:tc>
        <w:tc>
          <w:tcPr>
            <w:tcW w:w="9460" w:type="dxa"/>
            <w:vAlign w:val="bottom"/>
          </w:tcPr>
          <w:p>
            <w:pPr>
              <w:ind w:left="60"/>
              <w:spacing w:after="0"/>
              <w:rPr>
                <w:sz w:val="20"/>
                <w:szCs w:val="20"/>
                <w:color w:val="auto"/>
              </w:rPr>
            </w:pPr>
            <w:r>
              <w:rPr>
                <w:rFonts w:ascii="Arial" w:cs="Arial" w:eastAsia="Arial" w:hAnsi="Arial"/>
                <w:sz w:val="18"/>
                <w:szCs w:val="18"/>
                <w:color w:val="auto"/>
              </w:rPr>
              <w:t>Computation of 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3.11</w:t>
            </w:r>
          </w:p>
        </w:tc>
        <w:tc>
          <w:tcPr>
            <w:tcW w:w="9460" w:type="dxa"/>
            <w:vAlign w:val="bottom"/>
          </w:tcPr>
          <w:p>
            <w:pPr>
              <w:ind w:left="60"/>
              <w:spacing w:after="0"/>
              <w:rPr>
                <w:sz w:val="20"/>
                <w:szCs w:val="20"/>
                <w:color w:val="auto"/>
              </w:rPr>
            </w:pPr>
            <w:r>
              <w:rPr>
                <w:rFonts w:ascii="Arial" w:cs="Arial" w:eastAsia="Arial" w:hAnsi="Arial"/>
                <w:sz w:val="18"/>
                <w:szCs w:val="18"/>
                <w:color w:val="auto"/>
              </w:rPr>
              <w:t>Currency of Payments in Respect of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400" w:type="dxa"/>
            <w:vAlign w:val="bottom"/>
            <w:gridSpan w:val="2"/>
          </w:tcPr>
          <w:p>
            <w:pPr>
              <w:spacing w:after="0"/>
              <w:rPr>
                <w:sz w:val="20"/>
                <w:szCs w:val="20"/>
                <w:color w:val="auto"/>
              </w:rPr>
            </w:pPr>
            <w:r>
              <w:rPr>
                <w:rFonts w:ascii="Arial" w:cs="Arial" w:eastAsia="Arial" w:hAnsi="Arial"/>
                <w:sz w:val="18"/>
                <w:szCs w:val="18"/>
                <w:color w:val="auto"/>
              </w:rPr>
              <w:t>Section 3.12 CUSIP Numbers</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4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9"/>
              </w:rPr>
              <w:t>ARTICLE IV</w:t>
            </w:r>
          </w:p>
        </w:tc>
        <w:tc>
          <w:tcPr>
            <w:tcW w:w="10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9460" w:type="dxa"/>
            <w:vAlign w:val="bottom"/>
          </w:tcPr>
          <w:p>
            <w:pPr>
              <w:jc w:val="center"/>
              <w:spacing w:after="0"/>
              <w:rPr>
                <w:sz w:val="20"/>
                <w:szCs w:val="20"/>
                <w:color w:val="auto"/>
              </w:rPr>
            </w:pPr>
            <w:r>
              <w:rPr>
                <w:rFonts w:ascii="Arial" w:cs="Arial" w:eastAsia="Arial" w:hAnsi="Arial"/>
                <w:sz w:val="18"/>
                <w:szCs w:val="18"/>
                <w:color w:val="auto"/>
                <w:w w:val="95"/>
              </w:rPr>
              <w:t>REDEMPTION OF SECURITIES</w:t>
            </w:r>
          </w:p>
        </w:tc>
        <w:tc>
          <w:tcPr>
            <w:tcW w:w="102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w w:val="91"/>
              </w:rPr>
              <w:t>Section 4.01</w:t>
            </w:r>
          </w:p>
        </w:tc>
        <w:tc>
          <w:tcPr>
            <w:tcW w:w="9460" w:type="dxa"/>
            <w:vAlign w:val="bottom"/>
          </w:tcPr>
          <w:p>
            <w:pPr>
              <w:ind w:left="60"/>
              <w:spacing w:after="0"/>
              <w:rPr>
                <w:sz w:val="20"/>
                <w:szCs w:val="20"/>
                <w:color w:val="auto"/>
              </w:rPr>
            </w:pPr>
            <w:r>
              <w:rPr>
                <w:rFonts w:ascii="Arial" w:cs="Arial" w:eastAsia="Arial" w:hAnsi="Arial"/>
                <w:sz w:val="18"/>
                <w:szCs w:val="18"/>
                <w:color w:val="auto"/>
              </w:rPr>
              <w:t>Applicability of Right of Redemption</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4.02</w:t>
            </w:r>
          </w:p>
        </w:tc>
        <w:tc>
          <w:tcPr>
            <w:tcW w:w="9460" w:type="dxa"/>
            <w:vAlign w:val="bottom"/>
          </w:tcPr>
          <w:p>
            <w:pPr>
              <w:ind w:left="60"/>
              <w:spacing w:after="0"/>
              <w:rPr>
                <w:sz w:val="20"/>
                <w:szCs w:val="20"/>
                <w:color w:val="auto"/>
              </w:rPr>
            </w:pPr>
            <w:r>
              <w:rPr>
                <w:rFonts w:ascii="Arial" w:cs="Arial" w:eastAsia="Arial" w:hAnsi="Arial"/>
                <w:sz w:val="18"/>
                <w:szCs w:val="18"/>
                <w:color w:val="auto"/>
              </w:rPr>
              <w:t>Selection of Securities to be Redeemed</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Section 4.03 Notice of Redemption</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4.04</w:t>
            </w:r>
          </w:p>
        </w:tc>
        <w:tc>
          <w:tcPr>
            <w:tcW w:w="9460" w:type="dxa"/>
            <w:vAlign w:val="bottom"/>
          </w:tcPr>
          <w:p>
            <w:pPr>
              <w:ind w:left="60"/>
              <w:spacing w:after="0"/>
              <w:rPr>
                <w:sz w:val="20"/>
                <w:szCs w:val="20"/>
                <w:color w:val="auto"/>
              </w:rPr>
            </w:pPr>
            <w:r>
              <w:rPr>
                <w:rFonts w:ascii="Arial" w:cs="Arial" w:eastAsia="Arial" w:hAnsi="Arial"/>
                <w:sz w:val="18"/>
                <w:szCs w:val="18"/>
                <w:color w:val="auto"/>
              </w:rPr>
              <w:t>Deposit of Redemption Price</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4.05</w:t>
            </w:r>
          </w:p>
        </w:tc>
        <w:tc>
          <w:tcPr>
            <w:tcW w:w="9460" w:type="dxa"/>
            <w:vAlign w:val="bottom"/>
          </w:tcPr>
          <w:p>
            <w:pPr>
              <w:ind w:left="60"/>
              <w:spacing w:after="0"/>
              <w:rPr>
                <w:sz w:val="20"/>
                <w:szCs w:val="20"/>
                <w:color w:val="auto"/>
              </w:rPr>
            </w:pPr>
            <w:r>
              <w:rPr>
                <w:rFonts w:ascii="Arial" w:cs="Arial" w:eastAsia="Arial" w:hAnsi="Arial"/>
                <w:sz w:val="18"/>
                <w:szCs w:val="18"/>
                <w:color w:val="auto"/>
              </w:rPr>
              <w:t>Securities Payable on Redemption Date</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1"/>
              </w:rPr>
              <w:t>Section 4.06</w:t>
            </w:r>
          </w:p>
        </w:tc>
        <w:tc>
          <w:tcPr>
            <w:tcW w:w="9460" w:type="dxa"/>
            <w:vAlign w:val="bottom"/>
          </w:tcPr>
          <w:p>
            <w:pPr>
              <w:ind w:left="60"/>
              <w:spacing w:after="0"/>
              <w:rPr>
                <w:sz w:val="20"/>
                <w:szCs w:val="20"/>
                <w:color w:val="auto"/>
              </w:rPr>
            </w:pPr>
            <w:r>
              <w:rPr>
                <w:rFonts w:ascii="Arial" w:cs="Arial" w:eastAsia="Arial" w:hAnsi="Arial"/>
                <w:sz w:val="18"/>
                <w:szCs w:val="18"/>
                <w:color w:val="auto"/>
              </w:rPr>
              <w:t>Securities Redeemed in Part</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400" w:type="dxa"/>
            <w:vAlign w:val="bottom"/>
            <w:gridSpan w:val="2"/>
          </w:tcPr>
          <w:p>
            <w:pPr>
              <w:spacing w:after="0"/>
              <w:rPr>
                <w:sz w:val="20"/>
                <w:szCs w:val="20"/>
                <w:color w:val="auto"/>
              </w:rPr>
            </w:pPr>
            <w:r>
              <w:rPr>
                <w:rFonts w:ascii="Arial" w:cs="Arial" w:eastAsia="Arial" w:hAnsi="Arial"/>
                <w:sz w:val="18"/>
                <w:szCs w:val="18"/>
                <w:color w:val="auto"/>
              </w:rPr>
              <w:t>Section 4.07 Tax Redemption</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8560" w:type="dxa"/>
            <w:vAlign w:val="bottom"/>
          </w:tcPr>
          <w:p>
            <w:pPr>
              <w:jc w:val="center"/>
              <w:ind w:left="870"/>
              <w:spacing w:after="0"/>
              <w:rPr>
                <w:sz w:val="20"/>
                <w:szCs w:val="20"/>
                <w:color w:val="auto"/>
              </w:rPr>
            </w:pPr>
            <w:r>
              <w:rPr>
                <w:rFonts w:ascii="Arial" w:cs="Arial" w:eastAsia="Arial" w:hAnsi="Arial"/>
                <w:sz w:val="18"/>
                <w:szCs w:val="18"/>
                <w:color w:val="auto"/>
                <w:w w:val="98"/>
              </w:rPr>
              <w:t>ARTICLE V</w:t>
            </w:r>
          </w:p>
        </w:tc>
        <w:tc>
          <w:tcPr>
            <w:tcW w:w="190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8560" w:type="dxa"/>
            <w:vAlign w:val="bottom"/>
          </w:tcPr>
          <w:p>
            <w:pPr>
              <w:jc w:val="center"/>
              <w:ind w:left="850"/>
              <w:spacing w:after="0"/>
              <w:rPr>
                <w:sz w:val="20"/>
                <w:szCs w:val="20"/>
                <w:color w:val="auto"/>
              </w:rPr>
            </w:pPr>
            <w:r>
              <w:rPr>
                <w:rFonts w:ascii="Arial" w:cs="Arial" w:eastAsia="Arial" w:hAnsi="Arial"/>
                <w:sz w:val="18"/>
                <w:szCs w:val="18"/>
                <w:color w:val="auto"/>
                <w:w w:val="97"/>
              </w:rPr>
              <w:t>SINKING FUNDS</w:t>
            </w:r>
          </w:p>
        </w:tc>
        <w:tc>
          <w:tcPr>
            <w:tcW w:w="1900" w:type="dxa"/>
            <w:vAlign w:val="bottom"/>
          </w:tcPr>
          <w:p>
            <w:pPr>
              <w:spacing w:after="0"/>
              <w:rPr>
                <w:sz w:val="24"/>
                <w:szCs w:val="24"/>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w w:val="93"/>
              </w:rPr>
              <w:t>Section 5.01</w:t>
            </w:r>
          </w:p>
        </w:tc>
        <w:tc>
          <w:tcPr>
            <w:tcW w:w="8560" w:type="dxa"/>
            <w:vAlign w:val="bottom"/>
          </w:tcPr>
          <w:p>
            <w:pPr>
              <w:ind w:left="40"/>
              <w:spacing w:after="0"/>
              <w:rPr>
                <w:sz w:val="20"/>
                <w:szCs w:val="20"/>
                <w:color w:val="auto"/>
              </w:rPr>
            </w:pPr>
            <w:r>
              <w:rPr>
                <w:rFonts w:ascii="Arial" w:cs="Arial" w:eastAsia="Arial" w:hAnsi="Arial"/>
                <w:sz w:val="18"/>
                <w:szCs w:val="18"/>
                <w:color w:val="auto"/>
              </w:rPr>
              <w:t>Applicability of Sinking Fund</w:t>
            </w: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5.02 Mandatory Sinking Fund Obligation</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5.03 Optional Redemption at Sinking Fund Redemption Price</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w w:val="93"/>
              </w:rPr>
              <w:t>Section 5.04</w:t>
            </w:r>
          </w:p>
        </w:tc>
        <w:tc>
          <w:tcPr>
            <w:tcW w:w="8560" w:type="dxa"/>
            <w:vAlign w:val="bottom"/>
          </w:tcPr>
          <w:p>
            <w:pPr>
              <w:ind w:left="40"/>
              <w:spacing w:after="0"/>
              <w:rPr>
                <w:sz w:val="20"/>
                <w:szCs w:val="20"/>
                <w:color w:val="auto"/>
              </w:rPr>
            </w:pPr>
            <w:r>
              <w:rPr>
                <w:rFonts w:ascii="Arial" w:cs="Arial" w:eastAsia="Arial" w:hAnsi="Arial"/>
                <w:sz w:val="18"/>
                <w:szCs w:val="18"/>
                <w:color w:val="auto"/>
              </w:rPr>
              <w:t>Application of Sinking Fund Payment</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60" w:type="dxa"/>
            <w:vAlign w:val="bottom"/>
          </w:tcPr>
          <w:p>
            <w:pPr>
              <w:spacing w:after="0"/>
              <w:rPr>
                <w:sz w:val="24"/>
                <w:szCs w:val="24"/>
                <w:color w:val="auto"/>
              </w:rPr>
            </w:pPr>
          </w:p>
        </w:tc>
        <w:tc>
          <w:tcPr>
            <w:tcW w:w="8560" w:type="dxa"/>
            <w:vAlign w:val="bottom"/>
          </w:tcPr>
          <w:p>
            <w:pPr>
              <w:jc w:val="center"/>
              <w:ind w:left="850"/>
              <w:spacing w:after="0"/>
              <w:rPr>
                <w:sz w:val="20"/>
                <w:szCs w:val="20"/>
                <w:color w:val="auto"/>
              </w:rPr>
            </w:pPr>
            <w:r>
              <w:rPr>
                <w:rFonts w:ascii="Arial" w:cs="Arial" w:eastAsia="Arial" w:hAnsi="Arial"/>
                <w:sz w:val="18"/>
                <w:szCs w:val="18"/>
                <w:color w:val="auto"/>
                <w:w w:val="99"/>
              </w:rPr>
              <w:t>ARTICLE VI</w:t>
            </w:r>
          </w:p>
        </w:tc>
        <w:tc>
          <w:tcPr>
            <w:tcW w:w="190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8560" w:type="dxa"/>
            <w:vAlign w:val="bottom"/>
          </w:tcPr>
          <w:p>
            <w:pPr>
              <w:jc w:val="center"/>
              <w:ind w:left="870"/>
              <w:spacing w:after="0"/>
              <w:rPr>
                <w:sz w:val="20"/>
                <w:szCs w:val="20"/>
                <w:color w:val="auto"/>
              </w:rPr>
            </w:pPr>
            <w:r>
              <w:rPr>
                <w:rFonts w:ascii="Arial" w:cs="Arial" w:eastAsia="Arial" w:hAnsi="Arial"/>
                <w:sz w:val="18"/>
                <w:szCs w:val="18"/>
                <w:color w:val="auto"/>
                <w:w w:val="96"/>
              </w:rPr>
              <w:t>PARTICULAR COVENANTS OF THE COMPANY</w:t>
            </w:r>
          </w:p>
        </w:tc>
        <w:tc>
          <w:tcPr>
            <w:tcW w:w="1900" w:type="dxa"/>
            <w:vAlign w:val="bottom"/>
          </w:tcPr>
          <w:p>
            <w:pPr>
              <w:spacing w:after="0"/>
              <w:rPr>
                <w:sz w:val="24"/>
                <w:szCs w:val="24"/>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w w:val="93"/>
              </w:rPr>
              <w:t>Section 6.01</w:t>
            </w:r>
          </w:p>
        </w:tc>
        <w:tc>
          <w:tcPr>
            <w:tcW w:w="8560" w:type="dxa"/>
            <w:vAlign w:val="bottom"/>
          </w:tcPr>
          <w:p>
            <w:pPr>
              <w:ind w:left="40"/>
              <w:spacing w:after="0"/>
              <w:rPr>
                <w:sz w:val="20"/>
                <w:szCs w:val="20"/>
                <w:color w:val="auto"/>
              </w:rPr>
            </w:pPr>
            <w:r>
              <w:rPr>
                <w:rFonts w:ascii="Arial" w:cs="Arial" w:eastAsia="Arial" w:hAnsi="Arial"/>
                <w:sz w:val="18"/>
                <w:szCs w:val="18"/>
                <w:color w:val="auto"/>
              </w:rPr>
              <w:t>Payments of Principal, Premium and Interest</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6.02 Maintenance of Office or Agency; Paying Agent</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6.03 To Hold Payment in Trust</w:t>
            </w:r>
          </w:p>
        </w:tc>
        <w:tc>
          <w:tcPr>
            <w:tcW w:w="1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6.04</w:t>
            </w:r>
          </w:p>
        </w:tc>
        <w:tc>
          <w:tcPr>
            <w:tcW w:w="8560" w:type="dxa"/>
            <w:vAlign w:val="bottom"/>
          </w:tcPr>
          <w:p>
            <w:pPr>
              <w:ind w:left="40"/>
              <w:spacing w:after="0"/>
              <w:rPr>
                <w:sz w:val="20"/>
                <w:szCs w:val="20"/>
                <w:color w:val="auto"/>
              </w:rPr>
            </w:pPr>
            <w:r>
              <w:rPr>
                <w:rFonts w:ascii="Arial" w:cs="Arial" w:eastAsia="Arial" w:hAnsi="Arial"/>
                <w:sz w:val="18"/>
                <w:szCs w:val="18"/>
                <w:color w:val="auto"/>
              </w:rPr>
              <w:t>Merger, Consolidation and Sale of Assets</w:t>
            </w:r>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6.05 Additional Amounts</w:t>
            </w:r>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6.06 Payment for Consent</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6.07</w:t>
            </w:r>
          </w:p>
        </w:tc>
        <w:tc>
          <w:tcPr>
            <w:tcW w:w="8560" w:type="dxa"/>
            <w:vAlign w:val="bottom"/>
          </w:tcPr>
          <w:p>
            <w:pPr>
              <w:ind w:left="40"/>
              <w:spacing w:after="0"/>
              <w:rPr>
                <w:sz w:val="20"/>
                <w:szCs w:val="20"/>
                <w:color w:val="auto"/>
              </w:rPr>
            </w:pPr>
            <w:r>
              <w:rPr>
                <w:rFonts w:ascii="Arial" w:cs="Arial" w:eastAsia="Arial" w:hAnsi="Arial"/>
                <w:sz w:val="18"/>
                <w:szCs w:val="18"/>
                <w:color w:val="auto"/>
              </w:rPr>
              <w:t>Compliance Certificate</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6.08</w:t>
            </w:r>
          </w:p>
        </w:tc>
        <w:tc>
          <w:tcPr>
            <w:tcW w:w="8560" w:type="dxa"/>
            <w:vAlign w:val="bottom"/>
          </w:tcPr>
          <w:p>
            <w:pPr>
              <w:ind w:left="40"/>
              <w:spacing w:after="0"/>
              <w:rPr>
                <w:sz w:val="20"/>
                <w:szCs w:val="20"/>
                <w:color w:val="auto"/>
              </w:rPr>
            </w:pPr>
            <w:r>
              <w:rPr>
                <w:rFonts w:ascii="Arial" w:cs="Arial" w:eastAsia="Arial" w:hAnsi="Arial"/>
                <w:sz w:val="18"/>
                <w:szCs w:val="18"/>
                <w:color w:val="auto"/>
              </w:rPr>
              <w:t>Conditional Waiver by Holders of Securities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w w:val="93"/>
              </w:rPr>
              <w:t>Section 6.09</w:t>
            </w:r>
          </w:p>
        </w:tc>
        <w:tc>
          <w:tcPr>
            <w:tcW w:w="8560" w:type="dxa"/>
            <w:vAlign w:val="bottom"/>
          </w:tcPr>
          <w:p>
            <w:pPr>
              <w:ind w:left="40"/>
              <w:spacing w:after="0"/>
              <w:rPr>
                <w:sz w:val="20"/>
                <w:szCs w:val="20"/>
                <w:color w:val="auto"/>
              </w:rPr>
            </w:pPr>
            <w:r>
              <w:rPr>
                <w:rFonts w:ascii="Arial" w:cs="Arial" w:eastAsia="Arial" w:hAnsi="Arial"/>
                <w:sz w:val="18"/>
                <w:szCs w:val="18"/>
                <w:color w:val="auto"/>
              </w:rPr>
              <w:t>Statement by Officers as to Default</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960" w:type="dxa"/>
            <w:vAlign w:val="bottom"/>
          </w:tcPr>
          <w:p>
            <w:pPr>
              <w:spacing w:after="0"/>
              <w:rPr>
                <w:sz w:val="24"/>
                <w:szCs w:val="24"/>
                <w:color w:val="auto"/>
              </w:rPr>
            </w:pPr>
          </w:p>
        </w:tc>
        <w:tc>
          <w:tcPr>
            <w:tcW w:w="8560" w:type="dxa"/>
            <w:vAlign w:val="bottom"/>
          </w:tcPr>
          <w:p>
            <w:pPr>
              <w:jc w:val="center"/>
              <w:ind w:left="870"/>
              <w:spacing w:after="0"/>
              <w:rPr>
                <w:sz w:val="20"/>
                <w:szCs w:val="20"/>
                <w:color w:val="auto"/>
              </w:rPr>
            </w:pPr>
            <w:r>
              <w:rPr>
                <w:rFonts w:ascii="Arial" w:cs="Arial" w:eastAsia="Arial" w:hAnsi="Arial"/>
                <w:sz w:val="18"/>
                <w:szCs w:val="18"/>
                <w:color w:val="auto"/>
              </w:rPr>
              <w:t>ARTICLE VII</w:t>
            </w:r>
          </w:p>
        </w:tc>
        <w:tc>
          <w:tcPr>
            <w:tcW w:w="190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8560" w:type="dxa"/>
            <w:vAlign w:val="bottom"/>
          </w:tcPr>
          <w:p>
            <w:pPr>
              <w:jc w:val="center"/>
              <w:ind w:left="870"/>
              <w:spacing w:after="0"/>
              <w:rPr>
                <w:sz w:val="20"/>
                <w:szCs w:val="20"/>
                <w:color w:val="auto"/>
              </w:rPr>
            </w:pPr>
            <w:r>
              <w:rPr>
                <w:rFonts w:ascii="Arial" w:cs="Arial" w:eastAsia="Arial" w:hAnsi="Arial"/>
                <w:sz w:val="18"/>
                <w:szCs w:val="18"/>
                <w:color w:val="auto"/>
                <w:w w:val="95"/>
              </w:rPr>
              <w:t>REMEDIES OF TRUSTEE AND SECURITYHOLDERS</w:t>
            </w:r>
          </w:p>
        </w:tc>
        <w:tc>
          <w:tcPr>
            <w:tcW w:w="1900" w:type="dxa"/>
            <w:vAlign w:val="bottom"/>
          </w:tcPr>
          <w:p>
            <w:pPr>
              <w:spacing w:after="0"/>
              <w:rPr>
                <w:sz w:val="24"/>
                <w:szCs w:val="24"/>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w w:val="93"/>
              </w:rPr>
              <w:t>Section 7.01</w:t>
            </w:r>
          </w:p>
        </w:tc>
        <w:tc>
          <w:tcPr>
            <w:tcW w:w="856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1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7.02</w:t>
            </w:r>
          </w:p>
        </w:tc>
        <w:tc>
          <w:tcPr>
            <w:tcW w:w="8560" w:type="dxa"/>
            <w:vAlign w:val="bottom"/>
          </w:tcPr>
          <w:p>
            <w:pPr>
              <w:ind w:left="40"/>
              <w:spacing w:after="0"/>
              <w:rPr>
                <w:sz w:val="20"/>
                <w:szCs w:val="20"/>
                <w:color w:val="auto"/>
              </w:rPr>
            </w:pPr>
            <w:r>
              <w:rPr>
                <w:rFonts w:ascii="Arial" w:cs="Arial" w:eastAsia="Arial" w:hAnsi="Arial"/>
                <w:sz w:val="18"/>
                <w:szCs w:val="18"/>
                <w:color w:val="auto"/>
              </w:rPr>
              <w:t>Acceleration; Rescission and Annulment</w:t>
            </w:r>
          </w:p>
        </w:tc>
        <w:tc>
          <w:tcPr>
            <w:tcW w:w="1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7.03 Other Remedies</w:t>
            </w:r>
          </w:p>
        </w:tc>
        <w:tc>
          <w:tcPr>
            <w:tcW w:w="1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7.04</w:t>
            </w:r>
          </w:p>
        </w:tc>
        <w:tc>
          <w:tcPr>
            <w:tcW w:w="8560" w:type="dxa"/>
            <w:vAlign w:val="bottom"/>
          </w:tcPr>
          <w:p>
            <w:pPr>
              <w:ind w:left="40"/>
              <w:spacing w:after="0"/>
              <w:rPr>
                <w:sz w:val="20"/>
                <w:szCs w:val="20"/>
                <w:color w:val="auto"/>
              </w:rPr>
            </w:pPr>
            <w:r>
              <w:rPr>
                <w:rFonts w:ascii="Arial" w:cs="Arial" w:eastAsia="Arial" w:hAnsi="Arial"/>
                <w:sz w:val="18"/>
                <w:szCs w:val="18"/>
                <w:color w:val="auto"/>
              </w:rPr>
              <w:t>Trustee as Attorney-in-Fact</w:t>
            </w:r>
          </w:p>
        </w:tc>
        <w:tc>
          <w:tcPr>
            <w:tcW w:w="1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7.05</w:t>
            </w:r>
          </w:p>
        </w:tc>
        <w:tc>
          <w:tcPr>
            <w:tcW w:w="8560" w:type="dxa"/>
            <w:vAlign w:val="bottom"/>
          </w:tcPr>
          <w:p>
            <w:pPr>
              <w:ind w:left="40"/>
              <w:spacing w:after="0"/>
              <w:rPr>
                <w:sz w:val="20"/>
                <w:szCs w:val="20"/>
                <w:color w:val="auto"/>
              </w:rPr>
            </w:pPr>
            <w:r>
              <w:rPr>
                <w:rFonts w:ascii="Arial" w:cs="Arial" w:eastAsia="Arial" w:hAnsi="Arial"/>
                <w:sz w:val="18"/>
                <w:szCs w:val="18"/>
                <w:color w:val="auto"/>
              </w:rPr>
              <w:t>Priorities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7.06</w:t>
            </w:r>
          </w:p>
        </w:tc>
        <w:tc>
          <w:tcPr>
            <w:tcW w:w="8560" w:type="dxa"/>
            <w:vAlign w:val="bottom"/>
          </w:tcPr>
          <w:p>
            <w:pPr>
              <w:ind w:left="40"/>
              <w:spacing w:after="0"/>
              <w:rPr>
                <w:sz w:val="20"/>
                <w:szCs w:val="20"/>
                <w:color w:val="auto"/>
              </w:rPr>
            </w:pPr>
            <w:r>
              <w:rPr>
                <w:rFonts w:ascii="Arial" w:cs="Arial" w:eastAsia="Arial" w:hAnsi="Arial"/>
                <w:sz w:val="18"/>
                <w:szCs w:val="18"/>
                <w:color w:val="auto"/>
              </w:rPr>
              <w:t>Control by Securityholders; Waiver of Past Defaults</w:t>
            </w:r>
          </w:p>
        </w:tc>
        <w:tc>
          <w:tcPr>
            <w:tcW w:w="1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7.07</w:t>
            </w:r>
          </w:p>
        </w:tc>
        <w:tc>
          <w:tcPr>
            <w:tcW w:w="856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1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7.08</w:t>
            </w:r>
          </w:p>
        </w:tc>
        <w:tc>
          <w:tcPr>
            <w:tcW w:w="8560" w:type="dxa"/>
            <w:vAlign w:val="bottom"/>
          </w:tcPr>
          <w:p>
            <w:pPr>
              <w:ind w:left="40"/>
              <w:spacing w:after="0"/>
              <w:rPr>
                <w:sz w:val="20"/>
                <w:szCs w:val="20"/>
                <w:color w:val="auto"/>
              </w:rPr>
            </w:pPr>
            <w:r>
              <w:rPr>
                <w:rFonts w:ascii="Arial" w:cs="Arial" w:eastAsia="Arial" w:hAnsi="Arial"/>
                <w:sz w:val="18"/>
                <w:szCs w:val="18"/>
                <w:color w:val="auto"/>
              </w:rPr>
              <w:t>Undertaking for Costs</w:t>
            </w:r>
          </w:p>
        </w:tc>
        <w:tc>
          <w:tcPr>
            <w:tcW w:w="1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Section 7.09 Remedies Cumulative; Delay or Omission Not Waiver</w:t>
            </w:r>
          </w:p>
        </w:tc>
        <w:tc>
          <w:tcPr>
            <w:tcW w:w="1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960" w:type="dxa"/>
            <w:vAlign w:val="bottom"/>
          </w:tcPr>
          <w:p>
            <w:pPr>
              <w:spacing w:after="0"/>
              <w:rPr>
                <w:sz w:val="24"/>
                <w:szCs w:val="24"/>
                <w:color w:val="auto"/>
              </w:rPr>
            </w:pPr>
          </w:p>
        </w:tc>
        <w:tc>
          <w:tcPr>
            <w:tcW w:w="8560" w:type="dxa"/>
            <w:vAlign w:val="bottom"/>
          </w:tcPr>
          <w:p>
            <w:pPr>
              <w:jc w:val="center"/>
              <w:ind w:left="850"/>
              <w:spacing w:after="0"/>
              <w:rPr>
                <w:sz w:val="20"/>
                <w:szCs w:val="20"/>
                <w:color w:val="auto"/>
              </w:rPr>
            </w:pPr>
            <w:r>
              <w:rPr>
                <w:rFonts w:ascii="Arial" w:cs="Arial" w:eastAsia="Arial" w:hAnsi="Arial"/>
                <w:sz w:val="18"/>
                <w:szCs w:val="18"/>
                <w:color w:val="auto"/>
              </w:rPr>
              <w:t>ARTICLE VIII</w:t>
            </w:r>
          </w:p>
        </w:tc>
        <w:tc>
          <w:tcPr>
            <w:tcW w:w="190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8560" w:type="dxa"/>
            <w:vAlign w:val="bottom"/>
          </w:tcPr>
          <w:p>
            <w:pPr>
              <w:jc w:val="center"/>
              <w:ind w:left="850"/>
              <w:spacing w:after="0"/>
              <w:rPr>
                <w:sz w:val="20"/>
                <w:szCs w:val="20"/>
                <w:color w:val="auto"/>
              </w:rPr>
            </w:pPr>
            <w:r>
              <w:rPr>
                <w:rFonts w:ascii="Arial" w:cs="Arial" w:eastAsia="Arial" w:hAnsi="Arial"/>
                <w:sz w:val="18"/>
                <w:szCs w:val="18"/>
                <w:color w:val="auto"/>
                <w:w w:val="96"/>
              </w:rPr>
              <w:t>CONCERNING THE SECURITYHOLDERS</w:t>
            </w:r>
          </w:p>
        </w:tc>
        <w:tc>
          <w:tcPr>
            <w:tcW w:w="1900" w:type="dxa"/>
            <w:vAlign w:val="bottom"/>
          </w:tcPr>
          <w:p>
            <w:pPr>
              <w:spacing w:after="0"/>
              <w:rPr>
                <w:sz w:val="24"/>
                <w:szCs w:val="24"/>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w w:val="93"/>
              </w:rPr>
              <w:t>Section 8.01</w:t>
            </w:r>
          </w:p>
        </w:tc>
        <w:tc>
          <w:tcPr>
            <w:tcW w:w="8560" w:type="dxa"/>
            <w:vAlign w:val="bottom"/>
          </w:tcPr>
          <w:p>
            <w:pPr>
              <w:ind w:left="40"/>
              <w:spacing w:after="0"/>
              <w:rPr>
                <w:sz w:val="20"/>
                <w:szCs w:val="20"/>
                <w:color w:val="auto"/>
              </w:rPr>
            </w:pPr>
            <w:r>
              <w:rPr>
                <w:rFonts w:ascii="Arial" w:cs="Arial" w:eastAsia="Arial" w:hAnsi="Arial"/>
                <w:sz w:val="18"/>
                <w:szCs w:val="18"/>
                <w:color w:val="auto"/>
              </w:rPr>
              <w:t>Evidence of Action of Securityholders</w:t>
            </w:r>
          </w:p>
        </w:tc>
        <w:tc>
          <w:tcPr>
            <w:tcW w:w="1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3"/>
              </w:rPr>
              <w:t>Section 8.02</w:t>
            </w:r>
          </w:p>
        </w:tc>
        <w:tc>
          <w:tcPr>
            <w:tcW w:w="8560" w:type="dxa"/>
            <w:vAlign w:val="bottom"/>
          </w:tcPr>
          <w:p>
            <w:pPr>
              <w:ind w:left="40"/>
              <w:spacing w:after="0"/>
              <w:rPr>
                <w:sz w:val="20"/>
                <w:szCs w:val="20"/>
                <w:color w:val="auto"/>
              </w:rPr>
            </w:pPr>
            <w:r>
              <w:rPr>
                <w:rFonts w:ascii="Arial" w:cs="Arial" w:eastAsia="Arial" w:hAnsi="Arial"/>
                <w:sz w:val="18"/>
                <w:szCs w:val="18"/>
                <w:color w:val="auto"/>
              </w:rPr>
              <w:t>Proof of Execution or Holding of Securities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8.03 Persons Deemed Owners</w:t>
            </w: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w w:val="93"/>
              </w:rPr>
              <w:t>Section 8.04</w:t>
            </w:r>
          </w:p>
        </w:tc>
        <w:tc>
          <w:tcPr>
            <w:tcW w:w="8560" w:type="dxa"/>
            <w:vAlign w:val="bottom"/>
          </w:tcPr>
          <w:p>
            <w:pPr>
              <w:ind w:left="40"/>
              <w:spacing w:after="0"/>
              <w:rPr>
                <w:sz w:val="20"/>
                <w:szCs w:val="20"/>
                <w:color w:val="auto"/>
              </w:rPr>
            </w:pPr>
            <w:r>
              <w:rPr>
                <w:rFonts w:ascii="Arial" w:cs="Arial" w:eastAsia="Arial" w:hAnsi="Arial"/>
                <w:sz w:val="18"/>
                <w:szCs w:val="18"/>
                <w:color w:val="auto"/>
              </w:rPr>
              <w:t>Effect of Consents</w:t>
            </w:r>
          </w:p>
        </w:tc>
        <w:tc>
          <w:tcPr>
            <w:tcW w:w="19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8600" w:type="dxa"/>
            <w:vAlign w:val="bottom"/>
          </w:tcPr>
          <w:p>
            <w:pPr>
              <w:jc w:val="center"/>
              <w:ind w:left="730"/>
              <w:spacing w:after="0"/>
              <w:rPr>
                <w:sz w:val="20"/>
                <w:szCs w:val="20"/>
                <w:color w:val="auto"/>
              </w:rPr>
            </w:pPr>
            <w:r>
              <w:rPr>
                <w:rFonts w:ascii="Arial" w:cs="Arial" w:eastAsia="Arial" w:hAnsi="Arial"/>
                <w:sz w:val="18"/>
                <w:szCs w:val="18"/>
                <w:color w:val="auto"/>
                <w:w w:val="99"/>
              </w:rPr>
              <w:t>ARTICLE IX</w:t>
            </w:r>
          </w:p>
        </w:tc>
        <w:tc>
          <w:tcPr>
            <w:tcW w:w="182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8600" w:type="dxa"/>
            <w:vAlign w:val="bottom"/>
          </w:tcPr>
          <w:p>
            <w:pPr>
              <w:jc w:val="center"/>
              <w:ind w:left="750"/>
              <w:spacing w:after="0"/>
              <w:rPr>
                <w:sz w:val="20"/>
                <w:szCs w:val="20"/>
                <w:color w:val="auto"/>
              </w:rPr>
            </w:pPr>
            <w:r>
              <w:rPr>
                <w:rFonts w:ascii="Arial" w:cs="Arial" w:eastAsia="Arial" w:hAnsi="Arial"/>
                <w:sz w:val="18"/>
                <w:szCs w:val="18"/>
                <w:color w:val="auto"/>
                <w:w w:val="96"/>
              </w:rPr>
              <w:t>SECURITYHOLDERS’ MEETINGS</w:t>
            </w:r>
          </w:p>
        </w:tc>
        <w:tc>
          <w:tcPr>
            <w:tcW w:w="182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w w:val="97"/>
              </w:rPr>
              <w:t>Section 9.01</w:t>
            </w:r>
          </w:p>
        </w:tc>
        <w:tc>
          <w:tcPr>
            <w:tcW w:w="8600" w:type="dxa"/>
            <w:vAlign w:val="bottom"/>
          </w:tcPr>
          <w:p>
            <w:pPr>
              <w:spacing w:after="0"/>
              <w:rPr>
                <w:sz w:val="20"/>
                <w:szCs w:val="20"/>
                <w:color w:val="auto"/>
              </w:rPr>
            </w:pPr>
            <w:r>
              <w:rPr>
                <w:rFonts w:ascii="Arial" w:cs="Arial" w:eastAsia="Arial" w:hAnsi="Arial"/>
                <w:sz w:val="18"/>
                <w:szCs w:val="18"/>
                <w:color w:val="auto"/>
              </w:rPr>
              <w:t>Purposes of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9.02</w:t>
            </w:r>
          </w:p>
        </w:tc>
        <w:tc>
          <w:tcPr>
            <w:tcW w:w="8600" w:type="dxa"/>
            <w:vAlign w:val="bottom"/>
          </w:tcPr>
          <w:p>
            <w:pPr>
              <w:spacing w:after="0"/>
              <w:rPr>
                <w:sz w:val="20"/>
                <w:szCs w:val="20"/>
                <w:color w:val="auto"/>
              </w:rPr>
            </w:pPr>
            <w:r>
              <w:rPr>
                <w:rFonts w:ascii="Arial" w:cs="Arial" w:eastAsia="Arial" w:hAnsi="Arial"/>
                <w:sz w:val="18"/>
                <w:szCs w:val="18"/>
                <w:color w:val="auto"/>
              </w:rPr>
              <w:t>Call of Meetings by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9.03</w:t>
            </w:r>
          </w:p>
        </w:tc>
        <w:tc>
          <w:tcPr>
            <w:tcW w:w="8600" w:type="dxa"/>
            <w:vAlign w:val="bottom"/>
          </w:tcPr>
          <w:p>
            <w:pPr>
              <w:spacing w:after="0"/>
              <w:rPr>
                <w:sz w:val="20"/>
                <w:szCs w:val="20"/>
                <w:color w:val="auto"/>
              </w:rPr>
            </w:pPr>
            <w:r>
              <w:rPr>
                <w:rFonts w:ascii="Arial" w:cs="Arial" w:eastAsia="Arial" w:hAnsi="Arial"/>
                <w:sz w:val="18"/>
                <w:szCs w:val="18"/>
                <w:color w:val="auto"/>
              </w:rPr>
              <w:t>Call of Meetings by Company or Securityholders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9.04</w:t>
            </w:r>
          </w:p>
        </w:tc>
        <w:tc>
          <w:tcPr>
            <w:tcW w:w="8600" w:type="dxa"/>
            <w:vAlign w:val="bottom"/>
          </w:tcPr>
          <w:p>
            <w:pPr>
              <w:spacing w:after="0"/>
              <w:rPr>
                <w:sz w:val="20"/>
                <w:szCs w:val="20"/>
                <w:color w:val="auto"/>
              </w:rPr>
            </w:pPr>
            <w:r>
              <w:rPr>
                <w:rFonts w:ascii="Arial" w:cs="Arial" w:eastAsia="Arial" w:hAnsi="Arial"/>
                <w:sz w:val="18"/>
                <w:szCs w:val="18"/>
                <w:color w:val="auto"/>
              </w:rPr>
              <w:t>Qualifications for Voting</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9.05</w:t>
            </w:r>
          </w:p>
        </w:tc>
        <w:tc>
          <w:tcPr>
            <w:tcW w:w="8600" w:type="dxa"/>
            <w:vAlign w:val="bottom"/>
          </w:tcPr>
          <w:p>
            <w:pPr>
              <w:spacing w:after="0"/>
              <w:rPr>
                <w:sz w:val="20"/>
                <w:szCs w:val="20"/>
                <w:color w:val="auto"/>
              </w:rPr>
            </w:pPr>
            <w:r>
              <w:rPr>
                <w:rFonts w:ascii="Arial" w:cs="Arial" w:eastAsia="Arial" w:hAnsi="Arial"/>
                <w:sz w:val="18"/>
                <w:szCs w:val="18"/>
                <w:color w:val="auto"/>
              </w:rPr>
              <w:t>Regulation of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9.06</w:t>
            </w:r>
          </w:p>
        </w:tc>
        <w:tc>
          <w:tcPr>
            <w:tcW w:w="8600" w:type="dxa"/>
            <w:vAlign w:val="bottom"/>
          </w:tcPr>
          <w:p>
            <w:pPr>
              <w:spacing w:after="0"/>
              <w:rPr>
                <w:sz w:val="20"/>
                <w:szCs w:val="20"/>
                <w:color w:val="auto"/>
              </w:rPr>
            </w:pPr>
            <w:r>
              <w:rPr>
                <w:rFonts w:ascii="Arial" w:cs="Arial" w:eastAsia="Arial" w:hAnsi="Arial"/>
                <w:sz w:val="18"/>
                <w:szCs w:val="18"/>
                <w:color w:val="auto"/>
              </w:rPr>
              <w:t>Voting</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Section 9.07 No Delay of Rights by Meeting</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000" w:type="dxa"/>
            <w:vAlign w:val="bottom"/>
          </w:tcPr>
          <w:p>
            <w:pPr>
              <w:spacing w:after="0"/>
              <w:rPr>
                <w:sz w:val="24"/>
                <w:szCs w:val="24"/>
                <w:color w:val="auto"/>
              </w:rPr>
            </w:pPr>
          </w:p>
        </w:tc>
        <w:tc>
          <w:tcPr>
            <w:tcW w:w="8600" w:type="dxa"/>
            <w:vAlign w:val="bottom"/>
          </w:tcPr>
          <w:p>
            <w:pPr>
              <w:jc w:val="center"/>
              <w:ind w:left="750"/>
              <w:spacing w:after="0"/>
              <w:rPr>
                <w:sz w:val="20"/>
                <w:szCs w:val="20"/>
                <w:color w:val="auto"/>
              </w:rPr>
            </w:pPr>
            <w:r>
              <w:rPr>
                <w:rFonts w:ascii="Arial" w:cs="Arial" w:eastAsia="Arial" w:hAnsi="Arial"/>
                <w:sz w:val="18"/>
                <w:szCs w:val="18"/>
                <w:color w:val="auto"/>
                <w:w w:val="98"/>
              </w:rPr>
              <w:t>ARTICLE X</w:t>
            </w:r>
          </w:p>
        </w:tc>
        <w:tc>
          <w:tcPr>
            <w:tcW w:w="18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8600" w:type="dxa"/>
            <w:vAlign w:val="bottom"/>
          </w:tcPr>
          <w:p>
            <w:pPr>
              <w:jc w:val="center"/>
              <w:ind w:left="730"/>
              <w:spacing w:after="0"/>
              <w:rPr>
                <w:sz w:val="20"/>
                <w:szCs w:val="20"/>
                <w:color w:val="auto"/>
              </w:rPr>
            </w:pPr>
            <w:r>
              <w:rPr>
                <w:rFonts w:ascii="Arial" w:cs="Arial" w:eastAsia="Arial" w:hAnsi="Arial"/>
                <w:sz w:val="18"/>
                <w:szCs w:val="18"/>
                <w:color w:val="auto"/>
                <w:w w:val="95"/>
              </w:rPr>
              <w:t>REPORTS BY THE COMPANY AND THE TRUSTEE AND</w:t>
            </w:r>
          </w:p>
        </w:tc>
        <w:tc>
          <w:tcPr>
            <w:tcW w:w="182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600" w:type="dxa"/>
            <w:vAlign w:val="bottom"/>
          </w:tcPr>
          <w:p>
            <w:pPr>
              <w:jc w:val="center"/>
              <w:ind w:left="730"/>
              <w:spacing w:after="0"/>
              <w:rPr>
                <w:sz w:val="20"/>
                <w:szCs w:val="20"/>
                <w:color w:val="auto"/>
              </w:rPr>
            </w:pPr>
            <w:r>
              <w:rPr>
                <w:rFonts w:ascii="Arial" w:cs="Arial" w:eastAsia="Arial" w:hAnsi="Arial"/>
                <w:sz w:val="18"/>
                <w:szCs w:val="18"/>
                <w:color w:val="auto"/>
                <w:w w:val="97"/>
              </w:rPr>
              <w:t>SECURITYHOLDERS’ LISTS</w:t>
            </w:r>
          </w:p>
        </w:tc>
        <w:tc>
          <w:tcPr>
            <w:tcW w:w="182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w w:val="88"/>
              </w:rPr>
              <w:t>Section 10.01</w:t>
            </w:r>
          </w:p>
        </w:tc>
        <w:tc>
          <w:tcPr>
            <w:tcW w:w="8600" w:type="dxa"/>
            <w:vAlign w:val="bottom"/>
          </w:tcPr>
          <w:p>
            <w:pPr>
              <w:ind w:left="80"/>
              <w:spacing w:after="0"/>
              <w:rPr>
                <w:sz w:val="20"/>
                <w:szCs w:val="20"/>
                <w:color w:val="auto"/>
              </w:rPr>
            </w:pPr>
            <w:r>
              <w:rPr>
                <w:rFonts w:ascii="Arial" w:cs="Arial" w:eastAsia="Arial" w:hAnsi="Arial"/>
                <w:sz w:val="18"/>
                <w:szCs w:val="18"/>
                <w:color w:val="auto"/>
              </w:rPr>
              <w:t>Reports by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Section 10.02 Reports by the Company</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88"/>
              </w:rPr>
              <w:t>Section 10.03</w:t>
            </w:r>
          </w:p>
        </w:tc>
        <w:tc>
          <w:tcPr>
            <w:tcW w:w="8600" w:type="dxa"/>
            <w:vAlign w:val="bottom"/>
          </w:tcPr>
          <w:p>
            <w:pPr>
              <w:ind w:left="80"/>
              <w:spacing w:after="0"/>
              <w:rPr>
                <w:sz w:val="20"/>
                <w:szCs w:val="20"/>
                <w:color w:val="auto"/>
              </w:rPr>
            </w:pPr>
            <w:r>
              <w:rPr>
                <w:rFonts w:ascii="Arial" w:cs="Arial" w:eastAsia="Arial" w:hAnsi="Arial"/>
                <w:sz w:val="18"/>
                <w:szCs w:val="18"/>
                <w:color w:val="auto"/>
              </w:rPr>
              <w:t>Securityholders’ Lists</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000" w:type="dxa"/>
            <w:vAlign w:val="bottom"/>
          </w:tcPr>
          <w:p>
            <w:pPr>
              <w:spacing w:after="0"/>
              <w:rPr>
                <w:sz w:val="24"/>
                <w:szCs w:val="24"/>
                <w:color w:val="auto"/>
              </w:rPr>
            </w:pPr>
          </w:p>
        </w:tc>
        <w:tc>
          <w:tcPr>
            <w:tcW w:w="8600" w:type="dxa"/>
            <w:vAlign w:val="bottom"/>
          </w:tcPr>
          <w:p>
            <w:pPr>
              <w:jc w:val="center"/>
              <w:ind w:left="730"/>
              <w:spacing w:after="0"/>
              <w:rPr>
                <w:sz w:val="20"/>
                <w:szCs w:val="20"/>
                <w:color w:val="auto"/>
              </w:rPr>
            </w:pPr>
            <w:r>
              <w:rPr>
                <w:rFonts w:ascii="Arial" w:cs="Arial" w:eastAsia="Arial" w:hAnsi="Arial"/>
                <w:sz w:val="18"/>
                <w:szCs w:val="18"/>
                <w:color w:val="auto"/>
                <w:w w:val="99"/>
              </w:rPr>
              <w:t>ARTICLE XI</w:t>
            </w:r>
          </w:p>
        </w:tc>
        <w:tc>
          <w:tcPr>
            <w:tcW w:w="182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600" w:type="dxa"/>
            <w:vAlign w:val="bottom"/>
          </w:tcPr>
          <w:p>
            <w:pPr>
              <w:jc w:val="center"/>
              <w:ind w:left="730"/>
              <w:spacing w:after="0"/>
              <w:rPr>
                <w:sz w:val="20"/>
                <w:szCs w:val="20"/>
                <w:color w:val="auto"/>
              </w:rPr>
            </w:pPr>
            <w:r>
              <w:rPr>
                <w:rFonts w:ascii="Arial" w:cs="Arial" w:eastAsia="Arial" w:hAnsi="Arial"/>
                <w:sz w:val="18"/>
                <w:szCs w:val="18"/>
                <w:color w:val="auto"/>
                <w:w w:val="95"/>
              </w:rPr>
              <w:t>CONCERNING THE TRUSTEE</w:t>
            </w:r>
          </w:p>
        </w:tc>
        <w:tc>
          <w:tcPr>
            <w:tcW w:w="182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w w:val="88"/>
              </w:rPr>
              <w:t>Section 11.01</w:t>
            </w:r>
          </w:p>
        </w:tc>
        <w:tc>
          <w:tcPr>
            <w:tcW w:w="8600" w:type="dxa"/>
            <w:vAlign w:val="bottom"/>
          </w:tcPr>
          <w:p>
            <w:pPr>
              <w:ind w:left="80"/>
              <w:spacing w:after="0"/>
              <w:rPr>
                <w:sz w:val="20"/>
                <w:szCs w:val="20"/>
                <w:color w:val="auto"/>
              </w:rPr>
            </w:pPr>
            <w:r>
              <w:rPr>
                <w:rFonts w:ascii="Arial" w:cs="Arial" w:eastAsia="Arial" w:hAnsi="Arial"/>
                <w:sz w:val="18"/>
                <w:szCs w:val="18"/>
                <w:color w:val="auto"/>
              </w:rPr>
              <w:t>Rights of Trustees; Compensation and Indemnity</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11.02</w:t>
            </w:r>
          </w:p>
        </w:tc>
        <w:tc>
          <w:tcPr>
            <w:tcW w:w="8600" w:type="dxa"/>
            <w:vAlign w:val="bottom"/>
          </w:tcPr>
          <w:p>
            <w:pPr>
              <w:ind w:left="80"/>
              <w:spacing w:after="0"/>
              <w:rPr>
                <w:sz w:val="20"/>
                <w:szCs w:val="20"/>
                <w:color w:val="auto"/>
              </w:rPr>
            </w:pPr>
            <w:r>
              <w:rPr>
                <w:rFonts w:ascii="Arial" w:cs="Arial" w:eastAsia="Arial" w:hAnsi="Arial"/>
                <w:sz w:val="18"/>
                <w:szCs w:val="18"/>
                <w:color w:val="auto"/>
              </w:rPr>
              <w:t>Duties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11.03</w:t>
            </w:r>
          </w:p>
        </w:tc>
        <w:tc>
          <w:tcPr>
            <w:tcW w:w="8600" w:type="dxa"/>
            <w:vAlign w:val="bottom"/>
          </w:tcPr>
          <w:p>
            <w:pPr>
              <w:ind w:left="80"/>
              <w:spacing w:after="0"/>
              <w:rPr>
                <w:sz w:val="20"/>
                <w:szCs w:val="20"/>
                <w:color w:val="auto"/>
              </w:rPr>
            </w:pPr>
            <w:r>
              <w:rPr>
                <w:rFonts w:ascii="Arial" w:cs="Arial" w:eastAsia="Arial" w:hAnsi="Arial"/>
                <w:sz w:val="18"/>
                <w:szCs w:val="18"/>
                <w:color w:val="auto"/>
              </w:rPr>
              <w:t>Notice of Defaults</w:t>
            </w: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11.04</w:t>
            </w:r>
          </w:p>
        </w:tc>
        <w:tc>
          <w:tcPr>
            <w:tcW w:w="8600" w:type="dxa"/>
            <w:vAlign w:val="bottom"/>
          </w:tcPr>
          <w:p>
            <w:pPr>
              <w:ind w:left="80"/>
              <w:spacing w:after="0"/>
              <w:rPr>
                <w:sz w:val="20"/>
                <w:szCs w:val="20"/>
                <w:color w:val="auto"/>
              </w:rPr>
            </w:pPr>
            <w:r>
              <w:rPr>
                <w:rFonts w:ascii="Arial" w:cs="Arial" w:eastAsia="Arial" w:hAnsi="Arial"/>
                <w:sz w:val="18"/>
                <w:szCs w:val="18"/>
                <w:color w:val="auto"/>
              </w:rPr>
              <w:t>Eligibility; Disqualification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11.05</w:t>
            </w:r>
          </w:p>
        </w:tc>
        <w:tc>
          <w:tcPr>
            <w:tcW w:w="8600" w:type="dxa"/>
            <w:vAlign w:val="bottom"/>
          </w:tcPr>
          <w:p>
            <w:pPr>
              <w:ind w:left="80"/>
              <w:spacing w:after="0"/>
              <w:rPr>
                <w:sz w:val="20"/>
                <w:szCs w:val="20"/>
                <w:color w:val="auto"/>
              </w:rPr>
            </w:pPr>
            <w:r>
              <w:rPr>
                <w:rFonts w:ascii="Arial" w:cs="Arial" w:eastAsia="Arial" w:hAnsi="Arial"/>
                <w:sz w:val="18"/>
                <w:szCs w:val="18"/>
                <w:color w:val="auto"/>
              </w:rPr>
              <w:t>Resignation and Notice; Removal</w:t>
            </w: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11.06</w:t>
            </w:r>
          </w:p>
        </w:tc>
        <w:tc>
          <w:tcPr>
            <w:tcW w:w="8600" w:type="dxa"/>
            <w:vAlign w:val="bottom"/>
          </w:tcPr>
          <w:p>
            <w:pPr>
              <w:ind w:left="80"/>
              <w:spacing w:after="0"/>
              <w:rPr>
                <w:sz w:val="20"/>
                <w:szCs w:val="20"/>
                <w:color w:val="auto"/>
              </w:rPr>
            </w:pPr>
            <w:r>
              <w:rPr>
                <w:rFonts w:ascii="Arial" w:cs="Arial" w:eastAsia="Arial" w:hAnsi="Arial"/>
                <w:sz w:val="18"/>
                <w:szCs w:val="18"/>
                <w:color w:val="auto"/>
              </w:rPr>
              <w:t>Successor Trustee by Appointment</w:t>
            </w: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11.07</w:t>
            </w:r>
          </w:p>
        </w:tc>
        <w:tc>
          <w:tcPr>
            <w:tcW w:w="8600" w:type="dxa"/>
            <w:vAlign w:val="bottom"/>
          </w:tcPr>
          <w:p>
            <w:pPr>
              <w:ind w:left="80"/>
              <w:spacing w:after="0"/>
              <w:rPr>
                <w:sz w:val="20"/>
                <w:szCs w:val="20"/>
                <w:color w:val="auto"/>
              </w:rPr>
            </w:pPr>
            <w:r>
              <w:rPr>
                <w:rFonts w:ascii="Arial" w:cs="Arial" w:eastAsia="Arial" w:hAnsi="Arial"/>
                <w:sz w:val="18"/>
                <w:szCs w:val="18"/>
                <w:color w:val="auto"/>
              </w:rPr>
              <w:t>Successor Trustee by Merger</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11.08</w:t>
            </w:r>
          </w:p>
        </w:tc>
        <w:tc>
          <w:tcPr>
            <w:tcW w:w="8600" w:type="dxa"/>
            <w:vAlign w:val="bottom"/>
          </w:tcPr>
          <w:p>
            <w:pPr>
              <w:ind w:left="80"/>
              <w:spacing w:after="0"/>
              <w:rPr>
                <w:sz w:val="20"/>
                <w:szCs w:val="20"/>
                <w:color w:val="auto"/>
              </w:rPr>
            </w:pPr>
            <w:r>
              <w:rPr>
                <w:rFonts w:ascii="Arial" w:cs="Arial" w:eastAsia="Arial" w:hAnsi="Arial"/>
                <w:sz w:val="18"/>
                <w:szCs w:val="18"/>
                <w:color w:val="auto"/>
              </w:rPr>
              <w:t>Right to Rely on Officers’ Certificate</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11.09</w:t>
            </w:r>
          </w:p>
        </w:tc>
        <w:tc>
          <w:tcPr>
            <w:tcW w:w="8600" w:type="dxa"/>
            <w:vAlign w:val="bottom"/>
          </w:tcPr>
          <w:p>
            <w:pPr>
              <w:ind w:left="80"/>
              <w:spacing w:after="0"/>
              <w:rPr>
                <w:sz w:val="20"/>
                <w:szCs w:val="20"/>
                <w:color w:val="auto"/>
              </w:rPr>
            </w:pPr>
            <w:r>
              <w:rPr>
                <w:rFonts w:ascii="Arial" w:cs="Arial" w:eastAsia="Arial" w:hAnsi="Arial"/>
                <w:sz w:val="18"/>
                <w:szCs w:val="18"/>
                <w:color w:val="auto"/>
              </w:rPr>
              <w:t>Appointment of Authenticating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88"/>
              </w:rPr>
              <w:t>Section 11.10</w:t>
            </w:r>
          </w:p>
        </w:tc>
        <w:tc>
          <w:tcPr>
            <w:tcW w:w="8600" w:type="dxa"/>
            <w:vAlign w:val="bottom"/>
          </w:tcPr>
          <w:p>
            <w:pPr>
              <w:ind w:left="80"/>
              <w:spacing w:after="0"/>
              <w:rPr>
                <w:sz w:val="20"/>
                <w:szCs w:val="20"/>
                <w:color w:val="auto"/>
              </w:rPr>
            </w:pPr>
            <w:r>
              <w:rPr>
                <w:rFonts w:ascii="Arial" w:cs="Arial" w:eastAsia="Arial" w:hAnsi="Arial"/>
                <w:sz w:val="18"/>
                <w:szCs w:val="18"/>
                <w:color w:val="auto"/>
              </w:rPr>
              <w:t>Communications by Securityholders with Other Securityholders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000" w:type="dxa"/>
            <w:vAlign w:val="bottom"/>
          </w:tcPr>
          <w:p>
            <w:pPr>
              <w:spacing w:after="0"/>
              <w:rPr>
                <w:sz w:val="24"/>
                <w:szCs w:val="24"/>
                <w:color w:val="auto"/>
              </w:rPr>
            </w:pPr>
          </w:p>
        </w:tc>
        <w:tc>
          <w:tcPr>
            <w:tcW w:w="8600" w:type="dxa"/>
            <w:vAlign w:val="bottom"/>
          </w:tcPr>
          <w:p>
            <w:pPr>
              <w:jc w:val="center"/>
              <w:ind w:left="750"/>
              <w:spacing w:after="0"/>
              <w:rPr>
                <w:sz w:val="20"/>
                <w:szCs w:val="20"/>
                <w:color w:val="auto"/>
              </w:rPr>
            </w:pPr>
            <w:r>
              <w:rPr>
                <w:rFonts w:ascii="Arial" w:cs="Arial" w:eastAsia="Arial" w:hAnsi="Arial"/>
                <w:sz w:val="18"/>
                <w:szCs w:val="18"/>
                <w:color w:val="auto"/>
              </w:rPr>
              <w:t>ARTICLE XII</w:t>
            </w:r>
          </w:p>
        </w:tc>
        <w:tc>
          <w:tcPr>
            <w:tcW w:w="182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600" w:type="dxa"/>
            <w:vAlign w:val="bottom"/>
          </w:tcPr>
          <w:p>
            <w:pPr>
              <w:jc w:val="center"/>
              <w:ind w:left="730"/>
              <w:spacing w:after="0"/>
              <w:rPr>
                <w:sz w:val="20"/>
                <w:szCs w:val="20"/>
                <w:color w:val="auto"/>
              </w:rPr>
            </w:pPr>
            <w:r>
              <w:rPr>
                <w:rFonts w:ascii="Arial" w:cs="Arial" w:eastAsia="Arial" w:hAnsi="Arial"/>
                <w:sz w:val="18"/>
                <w:szCs w:val="18"/>
                <w:color w:val="auto"/>
                <w:w w:val="96"/>
              </w:rPr>
              <w:t>SATISFACTION AND DISCHARGE; DEFEASANCE</w:t>
            </w:r>
          </w:p>
        </w:tc>
        <w:tc>
          <w:tcPr>
            <w:tcW w:w="182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w w:val="88"/>
              </w:rPr>
              <w:t>Section 12.01</w:t>
            </w:r>
          </w:p>
        </w:tc>
        <w:tc>
          <w:tcPr>
            <w:tcW w:w="8600" w:type="dxa"/>
            <w:vAlign w:val="bottom"/>
          </w:tcPr>
          <w:p>
            <w:pPr>
              <w:ind w:left="80"/>
              <w:spacing w:after="0"/>
              <w:rPr>
                <w:sz w:val="20"/>
                <w:szCs w:val="20"/>
                <w:color w:val="auto"/>
              </w:rPr>
            </w:pPr>
            <w:r>
              <w:rPr>
                <w:rFonts w:ascii="Arial" w:cs="Arial" w:eastAsia="Arial" w:hAnsi="Arial"/>
                <w:sz w:val="18"/>
                <w:szCs w:val="18"/>
                <w:color w:val="auto"/>
              </w:rPr>
              <w:t>Applicability of Article</w:t>
            </w: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12.02</w:t>
            </w:r>
          </w:p>
        </w:tc>
        <w:tc>
          <w:tcPr>
            <w:tcW w:w="8600" w:type="dxa"/>
            <w:vAlign w:val="bottom"/>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Section 12.03 Defeasance upon Deposit of Moneys or U.S. Government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Section 12.04 Repayment to Company</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Section 12.05</w:t>
            </w:r>
          </w:p>
        </w:tc>
        <w:tc>
          <w:tcPr>
            <w:tcW w:w="8600" w:type="dxa"/>
            <w:vAlign w:val="bottom"/>
          </w:tcPr>
          <w:p>
            <w:pPr>
              <w:ind w:left="80"/>
              <w:spacing w:after="0"/>
              <w:rPr>
                <w:sz w:val="20"/>
                <w:szCs w:val="20"/>
                <w:color w:val="auto"/>
              </w:rPr>
            </w:pPr>
            <w:r>
              <w:rPr>
                <w:rFonts w:ascii="Arial" w:cs="Arial" w:eastAsia="Arial" w:hAnsi="Arial"/>
                <w:sz w:val="18"/>
                <w:szCs w:val="18"/>
                <w:color w:val="auto"/>
              </w:rPr>
              <w:t>Indemnity for U.S. Government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Section 12.06 Deposits to Be Held in Escrow</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88"/>
              </w:rPr>
              <w:t>Section 12.07</w:t>
            </w:r>
          </w:p>
        </w:tc>
        <w:tc>
          <w:tcPr>
            <w:tcW w:w="8600" w:type="dxa"/>
            <w:vAlign w:val="bottom"/>
          </w:tcPr>
          <w:p>
            <w:pPr>
              <w:ind w:left="80"/>
              <w:spacing w:after="0"/>
              <w:rPr>
                <w:sz w:val="20"/>
                <w:szCs w:val="20"/>
                <w:color w:val="auto"/>
              </w:rPr>
            </w:pPr>
            <w:r>
              <w:rPr>
                <w:rFonts w:ascii="Arial" w:cs="Arial" w:eastAsia="Arial" w:hAnsi="Arial"/>
                <w:sz w:val="18"/>
                <w:szCs w:val="18"/>
                <w:color w:val="auto"/>
              </w:rPr>
              <w:t>Application of Trust Money</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12.08</w:t>
            </w:r>
          </w:p>
        </w:tc>
        <w:tc>
          <w:tcPr>
            <w:tcW w:w="8260" w:type="dxa"/>
            <w:vAlign w:val="bottom"/>
          </w:tcPr>
          <w:p>
            <w:pPr>
              <w:ind w:left="40"/>
              <w:spacing w:after="0"/>
              <w:rPr>
                <w:sz w:val="20"/>
                <w:szCs w:val="20"/>
                <w:color w:val="auto"/>
              </w:rPr>
            </w:pPr>
            <w:r>
              <w:rPr>
                <w:rFonts w:ascii="Arial" w:cs="Arial" w:eastAsia="Arial" w:hAnsi="Arial"/>
                <w:sz w:val="18"/>
                <w:szCs w:val="18"/>
                <w:color w:val="auto"/>
              </w:rPr>
              <w:t>Deposits of Non-U.S. Currencies</w:t>
            </w:r>
          </w:p>
        </w:tc>
        <w:tc>
          <w:tcPr>
            <w:tcW w:w="2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40" w:type="dxa"/>
            <w:vAlign w:val="bottom"/>
          </w:tcPr>
          <w:p>
            <w:pPr>
              <w:spacing w:after="0"/>
              <w:rPr>
                <w:sz w:val="24"/>
                <w:szCs w:val="24"/>
                <w:color w:val="auto"/>
              </w:rPr>
            </w:pPr>
          </w:p>
        </w:tc>
        <w:tc>
          <w:tcPr>
            <w:tcW w:w="8260" w:type="dxa"/>
            <w:vAlign w:val="bottom"/>
          </w:tcPr>
          <w:p>
            <w:pPr>
              <w:jc w:val="center"/>
              <w:ind w:left="990"/>
              <w:spacing w:after="0"/>
              <w:rPr>
                <w:sz w:val="20"/>
                <w:szCs w:val="20"/>
                <w:color w:val="auto"/>
              </w:rPr>
            </w:pPr>
            <w:r>
              <w:rPr>
                <w:rFonts w:ascii="Arial" w:cs="Arial" w:eastAsia="Arial" w:hAnsi="Arial"/>
                <w:sz w:val="18"/>
                <w:szCs w:val="18"/>
                <w:color w:val="auto"/>
              </w:rPr>
              <w:t>ARTICLE XIII</w:t>
            </w:r>
          </w:p>
        </w:tc>
        <w:tc>
          <w:tcPr>
            <w:tcW w:w="21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260" w:type="dxa"/>
            <w:vAlign w:val="bottom"/>
          </w:tcPr>
          <w:p>
            <w:pPr>
              <w:jc w:val="center"/>
              <w:ind w:left="990"/>
              <w:spacing w:after="0"/>
              <w:rPr>
                <w:sz w:val="20"/>
                <w:szCs w:val="20"/>
                <w:color w:val="auto"/>
              </w:rPr>
            </w:pPr>
            <w:r>
              <w:rPr>
                <w:rFonts w:ascii="Arial" w:cs="Arial" w:eastAsia="Arial" w:hAnsi="Arial"/>
                <w:sz w:val="18"/>
                <w:szCs w:val="18"/>
                <w:color w:val="auto"/>
                <w:w w:val="96"/>
              </w:rPr>
              <w:t>IMMUNITY OF CERTAIN PERSONS</w:t>
            </w:r>
          </w:p>
        </w:tc>
        <w:tc>
          <w:tcPr>
            <w:tcW w:w="212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w w:val="92"/>
              </w:rPr>
              <w:t>Section 13.01</w:t>
            </w:r>
          </w:p>
        </w:tc>
        <w:tc>
          <w:tcPr>
            <w:tcW w:w="8260" w:type="dxa"/>
            <w:vAlign w:val="bottom"/>
          </w:tcPr>
          <w:p>
            <w:pPr>
              <w:ind w:left="40"/>
              <w:spacing w:after="0"/>
              <w:rPr>
                <w:sz w:val="20"/>
                <w:szCs w:val="20"/>
                <w:color w:val="auto"/>
              </w:rPr>
            </w:pPr>
            <w:r>
              <w:rPr>
                <w:rFonts w:ascii="Arial" w:cs="Arial" w:eastAsia="Arial" w:hAnsi="Arial"/>
                <w:sz w:val="18"/>
                <w:szCs w:val="18"/>
                <w:color w:val="auto"/>
              </w:rPr>
              <w:t>No Personal Liability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40" w:type="dxa"/>
            <w:vAlign w:val="bottom"/>
          </w:tcPr>
          <w:p>
            <w:pPr>
              <w:spacing w:after="0"/>
              <w:rPr>
                <w:sz w:val="24"/>
                <w:szCs w:val="24"/>
                <w:color w:val="auto"/>
              </w:rPr>
            </w:pPr>
          </w:p>
        </w:tc>
        <w:tc>
          <w:tcPr>
            <w:tcW w:w="8260" w:type="dxa"/>
            <w:vAlign w:val="bottom"/>
          </w:tcPr>
          <w:p>
            <w:pPr>
              <w:jc w:val="center"/>
              <w:ind w:left="1010"/>
              <w:spacing w:after="0"/>
              <w:rPr>
                <w:sz w:val="20"/>
                <w:szCs w:val="20"/>
                <w:color w:val="auto"/>
              </w:rPr>
            </w:pPr>
            <w:r>
              <w:rPr>
                <w:rFonts w:ascii="Arial" w:cs="Arial" w:eastAsia="Arial" w:hAnsi="Arial"/>
                <w:sz w:val="18"/>
                <w:szCs w:val="18"/>
                <w:color w:val="auto"/>
              </w:rPr>
              <w:t>ARTICLE XIV</w:t>
            </w:r>
          </w:p>
        </w:tc>
        <w:tc>
          <w:tcPr>
            <w:tcW w:w="21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260" w:type="dxa"/>
            <w:vAlign w:val="bottom"/>
          </w:tcPr>
          <w:p>
            <w:pPr>
              <w:jc w:val="center"/>
              <w:ind w:left="1010"/>
              <w:spacing w:after="0"/>
              <w:rPr>
                <w:sz w:val="20"/>
                <w:szCs w:val="20"/>
                <w:color w:val="auto"/>
              </w:rPr>
            </w:pPr>
            <w:r>
              <w:rPr>
                <w:rFonts w:ascii="Arial" w:cs="Arial" w:eastAsia="Arial" w:hAnsi="Arial"/>
                <w:sz w:val="18"/>
                <w:szCs w:val="18"/>
                <w:color w:val="auto"/>
                <w:w w:val="96"/>
              </w:rPr>
              <w:t>SUPPLEMENTAL INDENTURES</w:t>
            </w:r>
          </w:p>
        </w:tc>
        <w:tc>
          <w:tcPr>
            <w:tcW w:w="212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w w:val="92"/>
              </w:rPr>
              <w:t>Section 14.01</w:t>
            </w:r>
          </w:p>
        </w:tc>
        <w:tc>
          <w:tcPr>
            <w:tcW w:w="8260" w:type="dxa"/>
            <w:vAlign w:val="bottom"/>
          </w:tcPr>
          <w:p>
            <w:pPr>
              <w:ind w:left="40"/>
              <w:spacing w:after="0"/>
              <w:rPr>
                <w:sz w:val="20"/>
                <w:szCs w:val="20"/>
                <w:color w:val="auto"/>
              </w:rPr>
            </w:pPr>
            <w:r>
              <w:rPr>
                <w:rFonts w:ascii="Arial" w:cs="Arial" w:eastAsia="Arial" w:hAnsi="Arial"/>
                <w:sz w:val="18"/>
                <w:szCs w:val="18"/>
                <w:color w:val="auto"/>
              </w:rPr>
              <w:t>Without Consent of Securityholders</w:t>
            </w:r>
          </w:p>
        </w:tc>
        <w:tc>
          <w:tcPr>
            <w:tcW w:w="2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14.02</w:t>
            </w:r>
          </w:p>
        </w:tc>
        <w:tc>
          <w:tcPr>
            <w:tcW w:w="8260" w:type="dxa"/>
            <w:vAlign w:val="bottom"/>
          </w:tcPr>
          <w:p>
            <w:pPr>
              <w:ind w:left="40"/>
              <w:spacing w:after="0"/>
              <w:rPr>
                <w:sz w:val="20"/>
                <w:szCs w:val="20"/>
                <w:color w:val="auto"/>
              </w:rPr>
            </w:pPr>
            <w:r>
              <w:rPr>
                <w:rFonts w:ascii="Arial" w:cs="Arial" w:eastAsia="Arial" w:hAnsi="Arial"/>
                <w:sz w:val="18"/>
                <w:szCs w:val="18"/>
                <w:color w:val="auto"/>
              </w:rPr>
              <w:t>With Consent of Securityholders; Limitations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14.03</w:t>
            </w:r>
          </w:p>
        </w:tc>
        <w:tc>
          <w:tcPr>
            <w:tcW w:w="8260" w:type="dxa"/>
            <w:vAlign w:val="bottom"/>
          </w:tcPr>
          <w:p>
            <w:pPr>
              <w:ind w:left="40"/>
              <w:spacing w:after="0"/>
              <w:rPr>
                <w:sz w:val="20"/>
                <w:szCs w:val="20"/>
                <w:color w:val="auto"/>
              </w:rPr>
            </w:pPr>
            <w:r>
              <w:rPr>
                <w:rFonts w:ascii="Arial" w:cs="Arial" w:eastAsia="Arial" w:hAnsi="Arial"/>
                <w:sz w:val="18"/>
                <w:szCs w:val="18"/>
                <w:color w:val="auto"/>
              </w:rPr>
              <w:t>Trustee Protected</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14.04</w:t>
            </w:r>
          </w:p>
        </w:tc>
        <w:tc>
          <w:tcPr>
            <w:tcW w:w="8260" w:type="dxa"/>
            <w:vAlign w:val="bottom"/>
          </w:tcPr>
          <w:p>
            <w:pPr>
              <w:ind w:left="40"/>
              <w:spacing w:after="0"/>
              <w:rPr>
                <w:sz w:val="20"/>
                <w:szCs w:val="20"/>
                <w:color w:val="auto"/>
              </w:rPr>
            </w:pPr>
            <w:r>
              <w:rPr>
                <w:rFonts w:ascii="Arial" w:cs="Arial" w:eastAsia="Arial" w:hAnsi="Arial"/>
                <w:sz w:val="18"/>
                <w:szCs w:val="18"/>
                <w:color w:val="auto"/>
              </w:rPr>
              <w:t>Effect of Execution of Supplemental Indenture</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14.05</w:t>
            </w:r>
          </w:p>
        </w:tc>
        <w:tc>
          <w:tcPr>
            <w:tcW w:w="8260" w:type="dxa"/>
            <w:vAlign w:val="bottom"/>
          </w:tcPr>
          <w:p>
            <w:pPr>
              <w:ind w:left="40"/>
              <w:spacing w:after="0"/>
              <w:rPr>
                <w:sz w:val="20"/>
                <w:szCs w:val="20"/>
                <w:color w:val="auto"/>
              </w:rPr>
            </w:pPr>
            <w:r>
              <w:rPr>
                <w:rFonts w:ascii="Arial" w:cs="Arial" w:eastAsia="Arial" w:hAnsi="Arial"/>
                <w:sz w:val="18"/>
                <w:szCs w:val="18"/>
                <w:color w:val="auto"/>
              </w:rPr>
              <w:t>Notation on or Exchange of Securities</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Section 14.06 Conformity with TIA</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040" w:type="dxa"/>
            <w:vAlign w:val="bottom"/>
          </w:tcPr>
          <w:p>
            <w:pPr>
              <w:spacing w:after="0"/>
              <w:rPr>
                <w:sz w:val="24"/>
                <w:szCs w:val="24"/>
                <w:color w:val="auto"/>
              </w:rPr>
            </w:pPr>
          </w:p>
        </w:tc>
        <w:tc>
          <w:tcPr>
            <w:tcW w:w="8260" w:type="dxa"/>
            <w:vAlign w:val="bottom"/>
          </w:tcPr>
          <w:p>
            <w:pPr>
              <w:jc w:val="center"/>
              <w:ind w:left="990"/>
              <w:spacing w:after="0"/>
              <w:rPr>
                <w:sz w:val="20"/>
                <w:szCs w:val="20"/>
                <w:color w:val="auto"/>
              </w:rPr>
            </w:pPr>
            <w:r>
              <w:rPr>
                <w:rFonts w:ascii="Arial" w:cs="Arial" w:eastAsia="Arial" w:hAnsi="Arial"/>
                <w:sz w:val="18"/>
                <w:szCs w:val="18"/>
                <w:color w:val="auto"/>
              </w:rPr>
              <w:t>ARTICLE XV</w:t>
            </w:r>
          </w:p>
        </w:tc>
        <w:tc>
          <w:tcPr>
            <w:tcW w:w="21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260" w:type="dxa"/>
            <w:vAlign w:val="bottom"/>
          </w:tcPr>
          <w:p>
            <w:pPr>
              <w:jc w:val="center"/>
              <w:ind w:left="1010"/>
              <w:spacing w:after="0"/>
              <w:rPr>
                <w:sz w:val="20"/>
                <w:szCs w:val="20"/>
                <w:color w:val="auto"/>
              </w:rPr>
            </w:pPr>
            <w:r>
              <w:rPr>
                <w:rFonts w:ascii="Arial" w:cs="Arial" w:eastAsia="Arial" w:hAnsi="Arial"/>
                <w:sz w:val="18"/>
                <w:szCs w:val="18"/>
                <w:color w:val="auto"/>
                <w:w w:val="95"/>
              </w:rPr>
              <w:t>SUBORDINATION OF SECURITIES</w:t>
            </w:r>
          </w:p>
        </w:tc>
        <w:tc>
          <w:tcPr>
            <w:tcW w:w="212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w w:val="92"/>
              </w:rPr>
              <w:t>Section 15.01</w:t>
            </w:r>
          </w:p>
        </w:tc>
        <w:tc>
          <w:tcPr>
            <w:tcW w:w="8260" w:type="dxa"/>
            <w:vAlign w:val="bottom"/>
          </w:tcPr>
          <w:p>
            <w:pPr>
              <w:ind w:left="40"/>
              <w:spacing w:after="0"/>
              <w:rPr>
                <w:sz w:val="20"/>
                <w:szCs w:val="20"/>
                <w:color w:val="auto"/>
              </w:rPr>
            </w:pPr>
            <w:r>
              <w:rPr>
                <w:rFonts w:ascii="Arial" w:cs="Arial" w:eastAsia="Arial" w:hAnsi="Arial"/>
                <w:sz w:val="18"/>
                <w:szCs w:val="18"/>
                <w:color w:val="auto"/>
              </w:rPr>
              <w:t>Agreement to Subordinate</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15.02</w:t>
            </w:r>
          </w:p>
        </w:tc>
        <w:tc>
          <w:tcPr>
            <w:tcW w:w="8260" w:type="dxa"/>
            <w:vAlign w:val="bottom"/>
          </w:tcPr>
          <w:p>
            <w:pPr>
              <w:ind w:left="40"/>
              <w:spacing w:after="0"/>
              <w:rPr>
                <w:sz w:val="20"/>
                <w:szCs w:val="20"/>
                <w:color w:val="auto"/>
              </w:rPr>
            </w:pPr>
            <w:r>
              <w:rPr>
                <w:rFonts w:ascii="Arial" w:cs="Arial" w:eastAsia="Arial" w:hAnsi="Arial"/>
                <w:sz w:val="18"/>
                <w:szCs w:val="18"/>
                <w:color w:val="auto"/>
              </w:rPr>
              <w:t>Distribution on Dissolution, Liquidation and Reorganization; Subrogation of Securities</w:t>
            </w:r>
          </w:p>
        </w:tc>
        <w:tc>
          <w:tcPr>
            <w:tcW w:w="2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15.03</w:t>
            </w:r>
          </w:p>
        </w:tc>
        <w:tc>
          <w:tcPr>
            <w:tcW w:w="8260" w:type="dxa"/>
            <w:vAlign w:val="bottom"/>
          </w:tcPr>
          <w:p>
            <w:pPr>
              <w:ind w:left="40"/>
              <w:spacing w:after="0"/>
              <w:rPr>
                <w:sz w:val="20"/>
                <w:szCs w:val="20"/>
                <w:color w:val="auto"/>
              </w:rPr>
            </w:pPr>
            <w:r>
              <w:rPr>
                <w:rFonts w:ascii="Arial" w:cs="Arial" w:eastAsia="Arial" w:hAnsi="Arial"/>
                <w:sz w:val="18"/>
                <w:szCs w:val="18"/>
                <w:color w:val="auto"/>
              </w:rPr>
              <w:t>No Payment on Securities in Event of Default on Senior 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15.04</w:t>
            </w:r>
          </w:p>
        </w:tc>
        <w:tc>
          <w:tcPr>
            <w:tcW w:w="8260" w:type="dxa"/>
            <w:vAlign w:val="bottom"/>
          </w:tcPr>
          <w:p>
            <w:pPr>
              <w:ind w:left="40"/>
              <w:spacing w:after="0"/>
              <w:rPr>
                <w:sz w:val="20"/>
                <w:szCs w:val="20"/>
                <w:color w:val="auto"/>
              </w:rPr>
            </w:pPr>
            <w:r>
              <w:rPr>
                <w:rFonts w:ascii="Arial" w:cs="Arial" w:eastAsia="Arial" w:hAnsi="Arial"/>
                <w:sz w:val="18"/>
                <w:szCs w:val="18"/>
                <w:color w:val="auto"/>
              </w:rPr>
              <w:t>Payments on Securities Permitted</w:t>
            </w:r>
          </w:p>
        </w:tc>
        <w:tc>
          <w:tcPr>
            <w:tcW w:w="2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15.05</w:t>
            </w:r>
          </w:p>
        </w:tc>
        <w:tc>
          <w:tcPr>
            <w:tcW w:w="8260" w:type="dxa"/>
            <w:vAlign w:val="bottom"/>
          </w:tcPr>
          <w:p>
            <w:pPr>
              <w:ind w:left="40"/>
              <w:spacing w:after="0"/>
              <w:rPr>
                <w:sz w:val="20"/>
                <w:szCs w:val="20"/>
                <w:color w:val="auto"/>
              </w:rPr>
            </w:pPr>
            <w:r>
              <w:rPr>
                <w:rFonts w:ascii="Arial" w:cs="Arial" w:eastAsia="Arial" w:hAnsi="Arial"/>
                <w:sz w:val="18"/>
                <w:szCs w:val="18"/>
                <w:color w:val="auto"/>
              </w:rPr>
              <w:t>Authorization of Securityholders to Trustee to Effect Subordination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15.06</w:t>
            </w:r>
          </w:p>
        </w:tc>
        <w:tc>
          <w:tcPr>
            <w:tcW w:w="8260" w:type="dxa"/>
            <w:vAlign w:val="bottom"/>
          </w:tcPr>
          <w:p>
            <w:pPr>
              <w:ind w:left="40"/>
              <w:spacing w:after="0"/>
              <w:rPr>
                <w:sz w:val="20"/>
                <w:szCs w:val="20"/>
                <w:color w:val="auto"/>
              </w:rPr>
            </w:pPr>
            <w:r>
              <w:rPr>
                <w:rFonts w:ascii="Arial" w:cs="Arial" w:eastAsia="Arial" w:hAnsi="Arial"/>
                <w:sz w:val="18"/>
                <w:szCs w:val="18"/>
                <w:color w:val="auto"/>
              </w:rPr>
              <w:t>Notices to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15.07</w:t>
            </w:r>
          </w:p>
        </w:tc>
        <w:tc>
          <w:tcPr>
            <w:tcW w:w="8260" w:type="dxa"/>
            <w:vAlign w:val="bottom"/>
          </w:tcPr>
          <w:p>
            <w:pPr>
              <w:ind w:left="40"/>
              <w:spacing w:after="0"/>
              <w:rPr>
                <w:sz w:val="20"/>
                <w:szCs w:val="20"/>
                <w:color w:val="auto"/>
              </w:rPr>
            </w:pPr>
            <w:r>
              <w:rPr>
                <w:rFonts w:ascii="Arial" w:cs="Arial" w:eastAsia="Arial" w:hAnsi="Arial"/>
                <w:sz w:val="18"/>
                <w:szCs w:val="18"/>
                <w:color w:val="auto"/>
              </w:rPr>
              <w:t>Trustee as Holder of Senior 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15.08</w:t>
            </w:r>
          </w:p>
        </w:tc>
        <w:tc>
          <w:tcPr>
            <w:tcW w:w="8260" w:type="dxa"/>
            <w:vAlign w:val="bottom"/>
          </w:tcPr>
          <w:p>
            <w:pPr>
              <w:ind w:left="40"/>
              <w:spacing w:after="0"/>
              <w:rPr>
                <w:sz w:val="20"/>
                <w:szCs w:val="20"/>
                <w:color w:val="auto"/>
              </w:rPr>
            </w:pPr>
            <w:r>
              <w:rPr>
                <w:rFonts w:ascii="Arial" w:cs="Arial" w:eastAsia="Arial" w:hAnsi="Arial"/>
                <w:sz w:val="18"/>
                <w:szCs w:val="18"/>
                <w:color w:val="auto"/>
              </w:rPr>
              <w:t>Modifications of Terms of Senior 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15.09</w:t>
            </w:r>
          </w:p>
        </w:tc>
        <w:tc>
          <w:tcPr>
            <w:tcW w:w="8260" w:type="dxa"/>
            <w:vAlign w:val="bottom"/>
          </w:tcPr>
          <w:p>
            <w:pPr>
              <w:ind w:left="40"/>
              <w:spacing w:after="0"/>
              <w:rPr>
                <w:sz w:val="20"/>
                <w:szCs w:val="20"/>
                <w:color w:val="auto"/>
              </w:rPr>
            </w:pPr>
            <w:r>
              <w:rPr>
                <w:rFonts w:ascii="Arial" w:cs="Arial" w:eastAsia="Arial" w:hAnsi="Arial"/>
                <w:sz w:val="18"/>
                <w:szCs w:val="18"/>
                <w:color w:val="auto"/>
              </w:rPr>
              <w:t>Reliance on Judicial Order or Certificate of Liquidating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15.10</w:t>
            </w:r>
          </w:p>
        </w:tc>
        <w:tc>
          <w:tcPr>
            <w:tcW w:w="8260" w:type="dxa"/>
            <w:vAlign w:val="bottom"/>
          </w:tcPr>
          <w:p>
            <w:pPr>
              <w:ind w:left="40"/>
              <w:spacing w:after="0"/>
              <w:rPr>
                <w:sz w:val="20"/>
                <w:szCs w:val="20"/>
                <w:color w:val="auto"/>
              </w:rPr>
            </w:pPr>
            <w:r>
              <w:rPr>
                <w:rFonts w:ascii="Arial" w:cs="Arial" w:eastAsia="Arial" w:hAnsi="Arial"/>
                <w:sz w:val="18"/>
                <w:szCs w:val="18"/>
                <w:color w:val="auto"/>
              </w:rPr>
              <w:t>Satisfaction and Discharge; Defeasance and Covenant Defeasance</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15.11</w:t>
            </w:r>
          </w:p>
        </w:tc>
        <w:tc>
          <w:tcPr>
            <w:tcW w:w="8260" w:type="dxa"/>
            <w:vAlign w:val="bottom"/>
          </w:tcPr>
          <w:p>
            <w:pPr>
              <w:ind w:left="40"/>
              <w:spacing w:after="0"/>
              <w:rPr>
                <w:sz w:val="20"/>
                <w:szCs w:val="20"/>
                <w:color w:val="auto"/>
              </w:rPr>
            </w:pPr>
            <w:r>
              <w:rPr>
                <w:rFonts w:ascii="Arial" w:cs="Arial" w:eastAsia="Arial" w:hAnsi="Arial"/>
                <w:sz w:val="18"/>
                <w:szCs w:val="18"/>
                <w:color w:val="auto"/>
              </w:rPr>
              <w:t>Trustee Not Fiduciary for Holders of Senior 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040" w:type="dxa"/>
            <w:vAlign w:val="bottom"/>
          </w:tcPr>
          <w:p>
            <w:pPr>
              <w:spacing w:after="0"/>
              <w:rPr>
                <w:sz w:val="24"/>
                <w:szCs w:val="24"/>
                <w:color w:val="auto"/>
              </w:rPr>
            </w:pPr>
          </w:p>
        </w:tc>
        <w:tc>
          <w:tcPr>
            <w:tcW w:w="8260" w:type="dxa"/>
            <w:vAlign w:val="bottom"/>
          </w:tcPr>
          <w:p>
            <w:pPr>
              <w:jc w:val="center"/>
              <w:ind w:left="1010"/>
              <w:spacing w:after="0"/>
              <w:rPr>
                <w:sz w:val="20"/>
                <w:szCs w:val="20"/>
                <w:color w:val="auto"/>
              </w:rPr>
            </w:pPr>
            <w:r>
              <w:rPr>
                <w:rFonts w:ascii="Arial" w:cs="Arial" w:eastAsia="Arial" w:hAnsi="Arial"/>
                <w:sz w:val="18"/>
                <w:szCs w:val="18"/>
                <w:color w:val="auto"/>
              </w:rPr>
              <w:t>ARTICLE XVI</w:t>
            </w:r>
          </w:p>
        </w:tc>
        <w:tc>
          <w:tcPr>
            <w:tcW w:w="21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260" w:type="dxa"/>
            <w:vAlign w:val="bottom"/>
          </w:tcPr>
          <w:p>
            <w:pPr>
              <w:jc w:val="center"/>
              <w:ind w:left="1010"/>
              <w:spacing w:after="0"/>
              <w:rPr>
                <w:sz w:val="20"/>
                <w:szCs w:val="20"/>
                <w:color w:val="auto"/>
              </w:rPr>
            </w:pPr>
            <w:r>
              <w:rPr>
                <w:rFonts w:ascii="Arial" w:cs="Arial" w:eastAsia="Arial" w:hAnsi="Arial"/>
                <w:sz w:val="18"/>
                <w:szCs w:val="18"/>
                <w:color w:val="auto"/>
                <w:w w:val="96"/>
              </w:rPr>
              <w:t>MISCELLANEOUS PROVISIONS</w:t>
            </w:r>
          </w:p>
        </w:tc>
        <w:tc>
          <w:tcPr>
            <w:tcW w:w="212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w w:val="92"/>
              </w:rPr>
              <w:t>Section 16.01</w:t>
            </w:r>
          </w:p>
        </w:tc>
        <w:tc>
          <w:tcPr>
            <w:tcW w:w="8260" w:type="dxa"/>
            <w:vAlign w:val="bottom"/>
          </w:tcPr>
          <w:p>
            <w:pPr>
              <w:ind w:left="40"/>
              <w:spacing w:after="0"/>
              <w:rPr>
                <w:sz w:val="20"/>
                <w:szCs w:val="20"/>
                <w:color w:val="auto"/>
              </w:rPr>
            </w:pPr>
            <w:r>
              <w:rPr>
                <w:rFonts w:ascii="Arial" w:cs="Arial" w:eastAsia="Arial" w:hAnsi="Arial"/>
                <w:sz w:val="18"/>
                <w:szCs w:val="18"/>
                <w:color w:val="auto"/>
              </w:rPr>
              <w:t>Certificates and Opinions as to Conditions Precedent</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16.02</w:t>
            </w:r>
          </w:p>
        </w:tc>
        <w:tc>
          <w:tcPr>
            <w:tcW w:w="8260" w:type="dxa"/>
            <w:vAlign w:val="bottom"/>
          </w:tcPr>
          <w:p>
            <w:pPr>
              <w:ind w:left="40"/>
              <w:spacing w:after="0"/>
              <w:rPr>
                <w:sz w:val="20"/>
                <w:szCs w:val="20"/>
                <w:color w:val="auto"/>
              </w:rPr>
            </w:pPr>
            <w:r>
              <w:rPr>
                <w:rFonts w:ascii="Arial" w:cs="Arial" w:eastAsia="Arial" w:hAnsi="Arial"/>
                <w:sz w:val="18"/>
                <w:szCs w:val="18"/>
                <w:color w:val="auto"/>
              </w:rPr>
              <w:t>Trust Indenture Act Controls</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16.03 Notices to the Company and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16.04</w:t>
            </w:r>
          </w:p>
        </w:tc>
        <w:tc>
          <w:tcPr>
            <w:tcW w:w="8260" w:type="dxa"/>
            <w:vAlign w:val="bottom"/>
          </w:tcPr>
          <w:p>
            <w:pPr>
              <w:ind w:left="40"/>
              <w:spacing w:after="0"/>
              <w:rPr>
                <w:sz w:val="20"/>
                <w:szCs w:val="20"/>
                <w:color w:val="auto"/>
              </w:rPr>
            </w:pPr>
            <w:r>
              <w:rPr>
                <w:rFonts w:ascii="Arial" w:cs="Arial" w:eastAsia="Arial" w:hAnsi="Arial"/>
                <w:sz w:val="18"/>
                <w:szCs w:val="18"/>
                <w:color w:val="auto"/>
              </w:rPr>
              <w:t>Notices to Securityholders; Waiver</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16.05</w:t>
            </w:r>
          </w:p>
        </w:tc>
        <w:tc>
          <w:tcPr>
            <w:tcW w:w="8260" w:type="dxa"/>
            <w:vAlign w:val="bottom"/>
          </w:tcPr>
          <w:p>
            <w:pPr>
              <w:ind w:left="40"/>
              <w:spacing w:after="0"/>
              <w:rPr>
                <w:sz w:val="20"/>
                <w:szCs w:val="20"/>
                <w:color w:val="auto"/>
              </w:rPr>
            </w:pPr>
            <w:r>
              <w:rPr>
                <w:rFonts w:ascii="Arial" w:cs="Arial" w:eastAsia="Arial" w:hAnsi="Arial"/>
                <w:sz w:val="18"/>
                <w:szCs w:val="18"/>
                <w:color w:val="auto"/>
              </w:rPr>
              <w:t>Legal Holiday</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Section 16.06 Judgment Currency</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16.07</w:t>
            </w:r>
          </w:p>
        </w:tc>
        <w:tc>
          <w:tcPr>
            <w:tcW w:w="8260" w:type="dxa"/>
            <w:vAlign w:val="bottom"/>
          </w:tcPr>
          <w:p>
            <w:pPr>
              <w:ind w:left="40"/>
              <w:spacing w:after="0"/>
              <w:rPr>
                <w:sz w:val="20"/>
                <w:szCs w:val="20"/>
                <w:color w:val="auto"/>
              </w:rPr>
            </w:pPr>
            <w:r>
              <w:rPr>
                <w:rFonts w:ascii="Arial" w:cs="Arial" w:eastAsia="Arial" w:hAnsi="Arial"/>
                <w:sz w:val="18"/>
                <w:szCs w:val="18"/>
                <w:color w:val="auto"/>
              </w:rPr>
              <w:t>Effects of Headings and Table of Contents</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16.08</w:t>
            </w:r>
          </w:p>
        </w:tc>
        <w:tc>
          <w:tcPr>
            <w:tcW w:w="826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16.09</w:t>
            </w:r>
          </w:p>
        </w:tc>
        <w:tc>
          <w:tcPr>
            <w:tcW w:w="65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16.10</w:t>
            </w:r>
          </w:p>
        </w:tc>
        <w:tc>
          <w:tcPr>
            <w:tcW w:w="6580" w:type="dxa"/>
            <w:vAlign w:val="bottom"/>
          </w:tcPr>
          <w:p>
            <w:pPr>
              <w:ind w:left="40"/>
              <w:spacing w:after="0"/>
              <w:rPr>
                <w:sz w:val="20"/>
                <w:szCs w:val="20"/>
                <w:color w:val="auto"/>
              </w:rPr>
            </w:pPr>
            <w:r>
              <w:rPr>
                <w:rFonts w:ascii="Arial" w:cs="Arial" w:eastAsia="Arial" w:hAnsi="Arial"/>
                <w:sz w:val="18"/>
                <w:szCs w:val="18"/>
                <w:color w:val="auto"/>
              </w:rPr>
              <w:t>Benefits of Indenture</w:t>
            </w:r>
          </w:p>
        </w:tc>
        <w:tc>
          <w:tcPr>
            <w:tcW w:w="3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16.11</w:t>
            </w:r>
          </w:p>
        </w:tc>
        <w:tc>
          <w:tcPr>
            <w:tcW w:w="658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Section 16.12 Governing Law; Waiver of Trial by Jury</w:t>
            </w:r>
          </w:p>
        </w:tc>
        <w:tc>
          <w:tcPr>
            <w:tcW w:w="3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16.13</w:t>
            </w:r>
          </w:p>
        </w:tc>
        <w:tc>
          <w:tcPr>
            <w:tcW w:w="6580" w:type="dxa"/>
            <w:vAlign w:val="bottom"/>
          </w:tcPr>
          <w:p>
            <w:pPr>
              <w:ind w:left="40"/>
              <w:spacing w:after="0"/>
              <w:rPr>
                <w:sz w:val="20"/>
                <w:szCs w:val="20"/>
                <w:color w:val="auto"/>
              </w:rPr>
            </w:pPr>
            <w:r>
              <w:rPr>
                <w:rFonts w:ascii="Arial" w:cs="Arial" w:eastAsia="Arial" w:hAnsi="Arial"/>
                <w:sz w:val="18"/>
                <w:szCs w:val="18"/>
                <w:color w:val="auto"/>
              </w:rPr>
              <w:t>Submission to Jurisdiction</w:t>
            </w:r>
          </w:p>
        </w:tc>
        <w:tc>
          <w:tcPr>
            <w:tcW w:w="3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Section 16.14 Waiver of Immunity</w:t>
            </w:r>
          </w:p>
        </w:tc>
        <w:tc>
          <w:tcPr>
            <w:tcW w:w="3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Section 16.15 Force Majeure</w:t>
            </w:r>
          </w:p>
        </w:tc>
        <w:tc>
          <w:tcPr>
            <w:tcW w:w="3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Section 16.16 USA Patriot Act</w:t>
            </w:r>
          </w:p>
        </w:tc>
        <w:tc>
          <w:tcPr>
            <w:tcW w:w="380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INDENTURE dated as of [ ], 2019, between Weibo Corporation, an exempted company incorporated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Deutsche Bank Trust Company Americas, a New York banking corporation,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WHEREAS, the Company has duly authorized the execution and delivery of this Indenture to provide for the issuance of debentures, notes, bonds or other evidences of indebtedness (the “</w:t>
      </w:r>
      <w:r>
        <w:rPr>
          <w:rFonts w:ascii="Arial" w:cs="Arial" w:eastAsia="Arial" w:hAnsi="Arial"/>
          <w:sz w:val="18"/>
          <w:szCs w:val="18"/>
          <w:u w:val="single" w:color="auto"/>
          <w:color w:val="auto"/>
        </w:rPr>
        <w:t>Securities</w:t>
      </w:r>
      <w:r>
        <w:rPr>
          <w:rFonts w:ascii="Arial" w:cs="Arial" w:eastAsia="Arial" w:hAnsi="Arial"/>
          <w:sz w:val="18"/>
          <w:szCs w:val="18"/>
          <w:color w:val="auto"/>
        </w:rPr>
        <w:t>”) in an unlimited aggregate principal amount to be issued from time to time in one or more series as provided in this Indenture; and</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the Company, in accordance with its terms, have been done.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That, in consideration of the premises and the purchase of the Securities by the Holders (as defined below) thereof for the equal and proportionate benefit of all of the present and future Holders of the Securities, each party agrees and covenants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in this Indenture or the context otherwise requires, all terms used herein shall have the meanings assigned to them in the Trust Indenture Act.</w:t>
      </w:r>
    </w:p>
    <w:p>
      <w:pPr>
        <w:spacing w:after="0" w:line="170" w:lineRule="exact"/>
        <w:rPr>
          <w:sz w:val="20"/>
          <w:szCs w:val="20"/>
          <w:color w:val="auto"/>
        </w:rPr>
      </w:pPr>
    </w:p>
    <w:p>
      <w:pPr>
        <w:ind w:right="260" w:firstLine="656"/>
        <w:spacing w:after="0" w:line="342" w:lineRule="auto"/>
        <w:tabs>
          <w:tab w:leader="none" w:pos="1304"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Unless the context otherwise requires, the terms defined in this Section 1.01(b) shall for all purposes of this Indenture have the meanings hereinafter set forth, the following definitions to be equally applicable to both the singular and the plural forms of any of the terms herein defined: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Amounts</w:t>
      </w:r>
      <w:r>
        <w:rPr>
          <w:rFonts w:ascii="Arial" w:cs="Arial" w:eastAsia="Arial" w:hAnsi="Arial"/>
          <w:sz w:val="18"/>
          <w:szCs w:val="18"/>
          <w:color w:val="auto"/>
        </w:rPr>
        <w:t>” has the meaning provided in Section 6.05(a).</w:t>
      </w:r>
    </w:p>
    <w:p>
      <w:pPr>
        <w:spacing w:after="0" w:line="225"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direct or indirect common control with, such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has the meaning provided in Section 11.09.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elected or appointed by the shareholders of the Company to manage its business or any committee of such board duly authorized to take the action purported to be taken by such committee.</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any resolution of the Board of Directors taking an action which it is authorized to take and adopted at a meeting duly called and held at which a quorum of disinterested members (if so required) was present and acting throughout or adopted by written resolution executed by every member of the Board of Directors.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a day on which banking institutions or trust companies in The City of New York, Hong Kong or Beijing are authorized or obligated by law, regulation or executive order to remain closed</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of any Person means any and all shares, interests, rights to purchase, warrants, options, participations or other equivalents of or interests in (however designated) equity of such Person, including any Preferred Shares and limited liability or partnership interests (whether general or limited), but excluding any debt securities convertible or exchangeable into such equity.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w:t>
      </w:r>
      <w:r>
        <w:rPr>
          <w:rFonts w:ascii="Arial" w:cs="Arial" w:eastAsia="Arial" w:hAnsi="Arial"/>
          <w:sz w:val="18"/>
          <w:szCs w:val="18"/>
          <w:u w:val="single" w:color="auto"/>
          <w:color w:val="auto"/>
        </w:rPr>
        <w:t>Company</w:t>
      </w:r>
      <w:r>
        <w:rPr>
          <w:rFonts w:ascii="Arial" w:cs="Arial" w:eastAsia="Arial" w:hAnsi="Arial"/>
          <w:sz w:val="18"/>
          <w:szCs w:val="18"/>
          <w:color w:val="auto"/>
        </w:rPr>
        <w:t>” in the recitals, until a successor Person shall have become such pursuant to the applicable provisions of this Indenture, and thereafter “</w:t>
      </w:r>
      <w:r>
        <w:rPr>
          <w:rFonts w:ascii="Arial" w:cs="Arial" w:eastAsia="Arial" w:hAnsi="Arial"/>
          <w:sz w:val="18"/>
          <w:szCs w:val="18"/>
          <w:u w:val="single" w:color="auto"/>
          <w:color w:val="auto"/>
        </w:rPr>
        <w:t>Company</w:t>
      </w:r>
      <w:r>
        <w:rPr>
          <w:rFonts w:ascii="Arial" w:cs="Arial" w:eastAsia="Arial" w:hAnsi="Arial"/>
          <w:sz w:val="18"/>
          <w:szCs w:val="18"/>
          <w:color w:val="auto"/>
        </w:rPr>
        <w:t>” shall mean such successor Person.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request or order signed in the name of the Company by (i) two Officers or (ii) one Officer and either a Treasurer, an Assistant Treasurer, a Secretary or an Assistant Secretary of the Company, and delivered to the Trustee.</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Affiliated Entity</w:t>
      </w:r>
      <w:r>
        <w:rPr>
          <w:rFonts w:ascii="Arial" w:cs="Arial" w:eastAsia="Arial" w:hAnsi="Arial"/>
          <w:sz w:val="16"/>
          <w:szCs w:val="16"/>
          <w:color w:val="auto"/>
        </w:rPr>
        <w:t xml:space="preserve">” of any Person means any corporation, association or other entity which is or is required to be consolidated with such Person under Accounting Standards Codification subtopic 810-10, </w:t>
      </w:r>
      <w:r>
        <w:rPr>
          <w:rFonts w:ascii="Arial" w:cs="Arial" w:eastAsia="Arial" w:hAnsi="Arial"/>
          <w:sz w:val="16"/>
          <w:szCs w:val="16"/>
          <w:i w:val="1"/>
          <w:iCs w:val="1"/>
          <w:color w:val="auto"/>
        </w:rPr>
        <w:t>Consolidation: Overall</w:t>
      </w:r>
      <w:r>
        <w:rPr>
          <w:rFonts w:ascii="Arial" w:cs="Arial" w:eastAsia="Arial" w:hAnsi="Arial"/>
          <w:sz w:val="16"/>
          <w:szCs w:val="16"/>
          <w:color w:val="auto"/>
        </w:rPr>
        <w:t xml:space="preserve"> (including any changes, amendments or supplements thereto) or, if such Person prepares its financial statements in accordance with accounting principles other than U.S. GAAP, the equivalent of Accounting Standards Codification subtopic 810-10, </w:t>
      </w:r>
      <w:r>
        <w:rPr>
          <w:rFonts w:ascii="Arial" w:cs="Arial" w:eastAsia="Arial" w:hAnsi="Arial"/>
          <w:sz w:val="16"/>
          <w:szCs w:val="16"/>
          <w:i w:val="1"/>
          <w:iCs w:val="1"/>
          <w:color w:val="auto"/>
        </w:rPr>
        <w:t>Consolidation: Overall</w:t>
      </w:r>
      <w:r>
        <w:rPr>
          <w:rFonts w:ascii="Arial" w:cs="Arial" w:eastAsia="Arial" w:hAnsi="Arial"/>
          <w:sz w:val="16"/>
          <w:szCs w:val="16"/>
          <w:color w:val="auto"/>
        </w:rPr>
        <w:t xml:space="preserve"> under such accounting principles. Unless otherwise specified herein, each reference to a Consolidated Affiliated Entity will refer to a Consolidated Affiliated Entity of the Company.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of any Person means a Subsidiary or a Consolidated Affiliated Entity of such Person.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Trust Office</w:t>
      </w:r>
      <w:r>
        <w:rPr>
          <w:rFonts w:ascii="Arial" w:cs="Arial" w:eastAsia="Arial" w:hAnsi="Arial"/>
          <w:sz w:val="17"/>
          <w:szCs w:val="17"/>
          <w:color w:val="auto"/>
        </w:rPr>
        <w:t>,” or other similar term, means the principal office of the Trustee at which at any particular time its corporate trust business shall be administered, which office at the date hereof is located at 60 Wall Street, 16th Floor, MS: NYC60-1630, New York, New York 10005, Attention: Corporates Team Deal Manager-Weibo Corporation, fax: 732-578-4635,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53" w:name="page54"/>
    <w:bookmarkEnd w:id="5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provided in Section 12.03(c).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CUSIP</w:t>
      </w:r>
      <w:r>
        <w:rPr>
          <w:rFonts w:ascii="Arial" w:cs="Arial" w:eastAsia="Arial" w:hAnsi="Arial"/>
          <w:sz w:val="18"/>
          <w:szCs w:val="18"/>
          <w:color w:val="auto"/>
        </w:rPr>
        <w:t>” means the identification number provided by the Committee on Uniform Securities Identification Procedures.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U.S. Dollars or Foreign Currency.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Determination Agent</w:t>
      </w:r>
      <w:r>
        <w:rPr>
          <w:rFonts w:ascii="Arial" w:cs="Arial" w:eastAsia="Arial" w:hAnsi="Arial"/>
          <w:sz w:val="18"/>
          <w:szCs w:val="18"/>
          <w:color w:val="auto"/>
        </w:rPr>
        <w:t>” has the meaning provided in Section 3.11(d).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has the meaning provided in Section 11.03.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provided in Section 3.08(b).</w:t>
      </w:r>
    </w:p>
    <w:p>
      <w:pPr>
        <w:spacing w:after="0" w:line="225"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Securities of any series issuable in whole or in part in the form of one or more Global Securities, the Person designated as Depositary by the Company pursuant to Section 3.01 until a successor Depositary shall have become such pursuant to the applicable provisions of this Indenture, and thereafter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u w:val="single" w:color="auto"/>
          <w:color w:val="auto"/>
        </w:rPr>
        <w:t>Depositary</w:t>
      </w:r>
      <w:r>
        <w:rPr>
          <w:rFonts w:ascii="Arial" w:cs="Arial" w:eastAsia="Arial" w:hAnsi="Arial"/>
          <w:sz w:val="18"/>
          <w:szCs w:val="18"/>
          <w:color w:val="auto"/>
        </w:rPr>
        <w:t>” as used with respect to the Securities of any such series shall mean the Depositary with respect to the Securities of that series.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Currency</w:t>
      </w:r>
      <w:r>
        <w:rPr>
          <w:rFonts w:ascii="Arial" w:cs="Arial" w:eastAsia="Arial" w:hAnsi="Arial"/>
          <w:sz w:val="18"/>
          <w:szCs w:val="18"/>
          <w:color w:val="auto"/>
        </w:rPr>
        <w:t>” has the meaning provided in Section 3.11(a).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Discharged</w:t>
      </w:r>
      <w:r>
        <w:rPr>
          <w:rFonts w:ascii="Arial" w:cs="Arial" w:eastAsia="Arial" w:hAnsi="Arial"/>
          <w:sz w:val="18"/>
          <w:szCs w:val="18"/>
          <w:color w:val="auto"/>
        </w:rPr>
        <w:t>” has the meaning provided in Section 12.03(b).</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provided in Section 7.01.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has the meaning provided in Section 3.11(d).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Floating Rate Security</w:t>
      </w:r>
      <w:r>
        <w:rPr>
          <w:rFonts w:ascii="Arial" w:cs="Arial" w:eastAsia="Arial" w:hAnsi="Arial"/>
          <w:sz w:val="18"/>
          <w:szCs w:val="18"/>
          <w:color w:val="auto"/>
        </w:rPr>
        <w:t>” means a Security that provides for the payment of interest at a variable rate determined periodically by reference to an interest rate index specified pursuant to Section 3.01.</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54" w:name="page55"/>
    <w:bookmarkEnd w:id="54"/>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 currency issued by the government of any country other than the United States or a composite currency, the value of which is determined by reference to the values of the currencies of any group of countries.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any Security that evidences all or part of a series of Securities, issued in fully-registered certificated form to the Depositary for such series in accordance with Section 3.03 and bearing the legend prescribed in Section 3.03(f).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t>
      </w:r>
      <w:r>
        <w:rPr>
          <w:rFonts w:ascii="Arial" w:cs="Arial" w:eastAsia="Arial" w:hAnsi="Arial"/>
          <w:sz w:val="18"/>
          <w:szCs w:val="18"/>
          <w:u w:val="single" w:color="auto"/>
          <w:color w:val="auto"/>
        </w:rPr>
        <w:t>Holder of Securities,</w:t>
      </w:r>
      <w:r>
        <w:rPr>
          <w:rFonts w:ascii="Arial" w:cs="Arial" w:eastAsia="Arial" w:hAnsi="Arial"/>
          <w:sz w:val="18"/>
          <w:szCs w:val="18"/>
          <w:color w:val="auto"/>
        </w:rPr>
        <w:t>” or “</w:t>
      </w:r>
      <w:r>
        <w:rPr>
          <w:rFonts w:ascii="Arial" w:cs="Arial" w:eastAsia="Arial" w:hAnsi="Arial"/>
          <w:sz w:val="18"/>
          <w:szCs w:val="18"/>
          <w:u w:val="single" w:color="auto"/>
          <w:color w:val="auto"/>
        </w:rPr>
        <w:t>Securityholder</w:t>
      </w:r>
      <w:r>
        <w:rPr>
          <w:rFonts w:ascii="Arial" w:cs="Arial" w:eastAsia="Arial" w:hAnsi="Arial"/>
          <w:sz w:val="18"/>
          <w:szCs w:val="18"/>
          <w:color w:val="auto"/>
        </w:rPr>
        <w:t>” mean the Person in whose name Securities are registered in the Register.</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any and all obligations of a Person for money borrowed which, in accordance with U.S. GAAP, would be reflected on the balance sheet of such Person as a liability on the date as of which Indebtedness is to be determined.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instrument and all indentures supplemental hereto entered into pursuant to the applicable provisions hereof and shall include the terms of particular series of Securities established as contemplated by Section 3.01.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Legal Counsel</w:t>
      </w:r>
      <w:r>
        <w:rPr>
          <w:rFonts w:ascii="Arial" w:cs="Arial" w:eastAsia="Arial" w:hAnsi="Arial"/>
          <w:sz w:val="17"/>
          <w:szCs w:val="17"/>
          <w:color w:val="auto"/>
        </w:rPr>
        <w:t>” means an independent legal firm of nationally recognized standing that is reasonably acceptable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Tax Consultant</w:t>
      </w:r>
      <w:r>
        <w:rPr>
          <w:rFonts w:ascii="Arial" w:cs="Arial" w:eastAsia="Arial" w:hAnsi="Arial"/>
          <w:sz w:val="18"/>
          <w:szCs w:val="18"/>
          <w:color w:val="auto"/>
        </w:rPr>
        <w:t>” means an independent accounting firm or consultant of nationally recognized standing that is reasonably acceptable to the Trustee.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with respect to any Security, the Stated Maturity of an installment of interest on such Security.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ISIN</w:t>
      </w:r>
      <w:r>
        <w:rPr>
          <w:rFonts w:ascii="Arial" w:cs="Arial" w:eastAsia="Arial" w:hAnsi="Arial"/>
          <w:sz w:val="18"/>
          <w:szCs w:val="18"/>
          <w:color w:val="auto"/>
        </w:rPr>
        <w:t>” means the International Securities Identification Number.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with respect to any Security, the date on which such Security is originally issued under this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provided in Section 16.06.</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Defeasance</w:t>
      </w:r>
      <w:r>
        <w:rPr>
          <w:rFonts w:ascii="Arial" w:cs="Arial" w:eastAsia="Arial" w:hAnsi="Arial"/>
          <w:sz w:val="18"/>
          <w:szCs w:val="18"/>
          <w:color w:val="auto"/>
        </w:rPr>
        <w:t>” has the meaning provided in Section 12.03(b).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provided in Section 5.01(b).</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means, with respect to any Security, the date on which the principal of such Security shall become due and payable as therein and herein provided, whether by declaration, call for redemption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has the meaning provided in Section 3.03(h).</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the Chairman of the Board, the Chief Executive Officer, the President, the Chief Financial Officer, any Vice President, the Treasurer or the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4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5" w:name="page56"/>
    <w:bookmarkEnd w:id="55"/>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two Officers of the Company, one of whom is the principal executive officer, the principal financial officer, the treasurer or the principal accounting officer, or by an Officer and either an Assistant Treasurer or an Assistant Secretary of the Company.</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means an opinion in writing reasonably acceptable to the Trustee signed by legal counsel, who may be an employee of or counsel to the Company or who may be other counsel, that meets the applicable requirements provided for in Section 16.01.</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provided in Section 5.01(b).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is issued with “original issue discount” within the meaning of</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1273(a) of the Code and the regulations thereunder and any other Security designated by the Company as issued with original issue discount for United States federal income tax purposes.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means, when used with respect to Securities, as of the date of determination, all Securities theretofore authenticated and delivered under this Indenture, except:</w:t>
      </w:r>
    </w:p>
    <w:p>
      <w:pPr>
        <w:spacing w:after="0" w:line="170" w:lineRule="exact"/>
        <w:rPr>
          <w:sz w:val="20"/>
          <w:szCs w:val="20"/>
          <w:color w:val="auto"/>
        </w:rPr>
      </w:pPr>
    </w:p>
    <w:p>
      <w:pPr>
        <w:ind w:left="1960" w:hanging="667"/>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ind w:left="640" w:firstLine="653"/>
        <w:spacing w:after="0" w:line="297" w:lineRule="auto"/>
        <w:tabs>
          <w:tab w:leader="none" w:pos="19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Securities or portions thereof are to be redeemed, notice of such redemption has been duly given pursuant to this Indenture or provision therefor satisfactory to the Trustee has been made; and</w:t>
      </w:r>
    </w:p>
    <w:p>
      <w:pPr>
        <w:spacing w:after="0" w:line="158" w:lineRule="exact"/>
        <w:rPr>
          <w:rFonts w:ascii="Arial" w:cs="Arial" w:eastAsia="Arial" w:hAnsi="Arial"/>
          <w:sz w:val="16"/>
          <w:szCs w:val="16"/>
          <w:color w:val="auto"/>
        </w:rPr>
      </w:pPr>
    </w:p>
    <w:p>
      <w:pPr>
        <w:ind w:left="640" w:right="320" w:firstLine="653"/>
        <w:spacing w:after="0" w:line="259" w:lineRule="auto"/>
        <w:tabs>
          <w:tab w:leader="none" w:pos="19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6" w:name="page57"/>
    <w:bookmarkEnd w:id="56"/>
    <w:p>
      <w:pPr>
        <w:ind w:firstLine="648"/>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Securities of a series Outstanding have performed any action (including the making of any demand or request, the giving of any notice, consent or waiver or the taking of any other action) hereunder, Securities owned by the Company or any other obligor upon the Securities of such series or any Affiliate of the Company or of such other obligor shall be disregarded and deemed not to be Outstanding unless the Company, such Affiliate or such other obligor owns all of such Securities, except that, in determining whether the Trustee shall be protected in relying upon any such action, only Securities of such series for which the Trustee has received written notice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case of a dispute as to such right, the decision of the Trustee upon the advice of counsel shall be full protection to the Trustee. Upon request of the Trustee, the Company shall furnish to the Trustee promptly an Officers’ Certificate listing and identifying all such Securities, if any, known by the Company to be owned or held by or for the account of any of the above described Persons; and, subject to the provisions of Section 11.01, the Trustee shall be entitled to accept such Officers’ Certificate as conclusive evidence of the facts therein set forth and of the fact that all such Securities not listed therein are Outstanding for the purpose of any such determination.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17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Paying Agent</w:t>
      </w:r>
      <w:r>
        <w:rPr>
          <w:rFonts w:ascii="Arial" w:cs="Arial" w:eastAsia="Arial" w:hAnsi="Arial"/>
          <w:sz w:val="17"/>
          <w:szCs w:val="17"/>
          <w:color w:val="auto"/>
        </w:rPr>
        <w:t>” means any Person authorized by the Company to pay the principal of, premium, if any, or interest on any Securities on behalf of the Company. The Company may act as Paying Agent with respect to Securities of any series issued hereunder.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Default</w:t>
      </w:r>
      <w:r>
        <w:rPr>
          <w:rFonts w:ascii="Arial" w:cs="Arial" w:eastAsia="Arial" w:hAnsi="Arial"/>
          <w:sz w:val="18"/>
          <w:szCs w:val="18"/>
          <w:color w:val="auto"/>
        </w:rPr>
        <w:t>” has the meaning provided in Section 7.01(e).</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limited liability company, partnership, joint venture, undertaking, association, joint stock company, trust, unincorporated organization, trust, state, government or any agency or political subdivision thereof or any other entity (in each case whether or not being a separate legal entity).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has the meaning provided in Section 3.01(h).</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excluding, for purposes of this definition, the Hong Kong Special Administrative Region, the Macau Special Administrative Region and Taiwan.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Predecessor Security</w:t>
      </w:r>
      <w:r>
        <w:rPr>
          <w:rFonts w:ascii="Arial" w:cs="Arial" w:eastAsia="Arial" w:hAnsi="Arial"/>
          <w:sz w:val="17"/>
          <w:szCs w:val="17"/>
          <w:color w:val="auto"/>
        </w:rPr>
        <w:t>” means, with respect to any Security, every previous Security evidencing all or a portion of the same debt as that evidenced by such particular Security, and, for the purposes of this definition, any Security authenticated and delivered under Section 3.07 in lieu of a lost, destroyed or stolen Security shall be deemed to evidence the same debt as the lost, destroyed or stolen Security.</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7" w:name="page58"/>
    <w:bookmarkEnd w:id="57"/>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as applied to the Capital Stock of any corporation, means Capital Stock of any class or classes (however designated) that is preferred as to the payment of dividends upon liquidation, dissolution or winding up.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Controlled Entities</w:t>
      </w:r>
      <w:r>
        <w:rPr>
          <w:rFonts w:ascii="Arial" w:cs="Arial" w:eastAsia="Arial" w:hAnsi="Arial"/>
          <w:sz w:val="18"/>
          <w:szCs w:val="18"/>
          <w:color w:val="auto"/>
        </w:rPr>
        <w:t>” at any time shall mean one of the Non-listed Controlled Entities of the Company:</w:t>
      </w:r>
    </w:p>
    <w:p>
      <w:pPr>
        <w:spacing w:after="0" w:line="225" w:lineRule="exact"/>
        <w:rPr>
          <w:sz w:val="20"/>
          <w:szCs w:val="20"/>
          <w:color w:val="auto"/>
        </w:rPr>
      </w:pPr>
    </w:p>
    <w:p>
      <w:pPr>
        <w:ind w:left="1960" w:hanging="667"/>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to which one or more of the following conditions is/are satisfied:</w:t>
      </w:r>
    </w:p>
    <w:p>
      <w:pPr>
        <w:spacing w:after="0" w:line="225" w:lineRule="exact"/>
        <w:rPr>
          <w:rFonts w:ascii="Arial" w:cs="Arial" w:eastAsia="Arial" w:hAnsi="Arial"/>
          <w:sz w:val="18"/>
          <w:szCs w:val="18"/>
          <w:color w:val="auto"/>
        </w:rPr>
      </w:pPr>
    </w:p>
    <w:p>
      <w:pPr>
        <w:jc w:val="both"/>
        <w:ind w:left="1300" w:right="280" w:firstLine="641"/>
        <w:spacing w:after="0" w:line="264" w:lineRule="auto"/>
        <w:tabs>
          <w:tab w:leader="none" w:pos="26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its total revenue or (in the case of one of the Non-listed Controlled Entities of the Company which has one or more Non-listed Controlled Entities) consolidated total revenue attributable to the Company is at least 10% of the consolidated total revenue of the Company;</w:t>
      </w:r>
    </w:p>
    <w:p>
      <w:pPr>
        <w:spacing w:after="0" w:line="181" w:lineRule="exact"/>
        <w:rPr>
          <w:rFonts w:ascii="Arial" w:cs="Arial" w:eastAsia="Arial" w:hAnsi="Arial"/>
          <w:sz w:val="18"/>
          <w:szCs w:val="18"/>
          <w:color w:val="auto"/>
        </w:rPr>
      </w:pPr>
    </w:p>
    <w:p>
      <w:pPr>
        <w:ind w:left="1300" w:right="140" w:firstLine="641"/>
        <w:spacing w:after="0" w:line="286" w:lineRule="auto"/>
        <w:tabs>
          <w:tab w:leader="none" w:pos="2607" w:val="left"/>
        </w:tabs>
        <w:numPr>
          <w:ilvl w:val="1"/>
          <w:numId w:val="48"/>
        </w:numPr>
        <w:rPr>
          <w:rFonts w:ascii="Arial" w:cs="Arial" w:eastAsia="Arial" w:hAnsi="Arial"/>
          <w:sz w:val="17"/>
          <w:szCs w:val="17"/>
          <w:color w:val="auto"/>
        </w:rPr>
      </w:pPr>
      <w:r>
        <w:rPr>
          <w:rFonts w:ascii="Arial" w:cs="Arial" w:eastAsia="Arial" w:hAnsi="Arial"/>
          <w:sz w:val="17"/>
          <w:szCs w:val="17"/>
          <w:color w:val="auto"/>
        </w:rPr>
        <w:t>its net profit or (in the case of one of the Non-listed Controlled Entities of the Company which has one or more Non-listed Controlled Entities) consolidated net profit attributable to the Company (in each case before taxation and exceptional items) is at least 10% of the consolidated net profit of the Company (before taxation and exceptional items); or</w:t>
      </w:r>
    </w:p>
    <w:p>
      <w:pPr>
        <w:spacing w:after="0" w:line="165" w:lineRule="exact"/>
        <w:rPr>
          <w:rFonts w:ascii="Arial" w:cs="Arial" w:eastAsia="Arial" w:hAnsi="Arial"/>
          <w:sz w:val="17"/>
          <w:szCs w:val="17"/>
          <w:color w:val="auto"/>
        </w:rPr>
      </w:pPr>
    </w:p>
    <w:p>
      <w:pPr>
        <w:jc w:val="both"/>
        <w:ind w:left="1300" w:right="60" w:firstLine="641"/>
        <w:spacing w:after="0" w:line="312" w:lineRule="auto"/>
        <w:tabs>
          <w:tab w:leader="none" w:pos="2607" w:val="left"/>
        </w:tabs>
        <w:numPr>
          <w:ilvl w:val="1"/>
          <w:numId w:val="48"/>
        </w:numPr>
        <w:rPr>
          <w:rFonts w:ascii="Arial" w:cs="Arial" w:eastAsia="Arial" w:hAnsi="Arial"/>
          <w:sz w:val="16"/>
          <w:szCs w:val="16"/>
          <w:color w:val="auto"/>
        </w:rPr>
      </w:pPr>
      <w:r>
        <w:rPr>
          <w:rFonts w:ascii="Arial" w:cs="Arial" w:eastAsia="Arial" w:hAnsi="Arial"/>
          <w:sz w:val="16"/>
          <w:szCs w:val="16"/>
          <w:color w:val="auto"/>
        </w:rPr>
        <w:t>its net assets or (in the case of one of the Non-listed Controlled Entities of the Company which has one or more Non-listed Controlled Entities) consolidated net assets attributable to the Company (in each case after deducting minority interests in Subsidiaries) are at least 10% of the consolidated net assets of the Company (after deducting minority interests in Subsidiaries);</w:t>
      </w:r>
    </w:p>
    <w:p>
      <w:pPr>
        <w:spacing w:after="0" w:line="147" w:lineRule="exact"/>
        <w:rPr>
          <w:sz w:val="20"/>
          <w:szCs w:val="20"/>
          <w:color w:val="auto"/>
        </w:rPr>
      </w:pPr>
    </w:p>
    <w:p>
      <w:pPr>
        <w:ind w:left="640" w:firstLine="648"/>
        <w:spacing w:after="0" w:line="264" w:lineRule="auto"/>
        <w:rPr>
          <w:sz w:val="20"/>
          <w:szCs w:val="20"/>
          <w:color w:val="auto"/>
        </w:rPr>
      </w:pPr>
      <w:r>
        <w:rPr>
          <w:rFonts w:ascii="Arial" w:cs="Arial" w:eastAsia="Arial" w:hAnsi="Arial"/>
          <w:sz w:val="18"/>
          <w:szCs w:val="18"/>
          <w:color w:val="auto"/>
        </w:rPr>
        <w:t xml:space="preserve">all as calculated by reference to the then latest audited financial statements (consolidated or, as the case may be, unconsolidated) of the Non-listed Controlled Entity of the Company and the then latest audited consolidated financial statements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relation to clauses (A), (B) and (C) above:</w:t>
      </w:r>
    </w:p>
    <w:p>
      <w:pPr>
        <w:spacing w:after="0" w:line="181" w:lineRule="exact"/>
        <w:rPr>
          <w:sz w:val="20"/>
          <w:szCs w:val="20"/>
          <w:color w:val="auto"/>
        </w:rPr>
      </w:pPr>
    </w:p>
    <w:p>
      <w:pPr>
        <w:ind w:left="1300" w:right="80" w:firstLine="641"/>
        <w:spacing w:after="0" w:line="254" w:lineRule="auto"/>
        <w:tabs>
          <w:tab w:leader="none" w:pos="26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 corporation or other business entity becoming a Non-listed Controlled Entity after the end of the financial period to which the latest consolidated audited accounts of the Company relate, the reference to the then latest consolidated audited accounts of the Company and its Non-listed Controlled Entities for the purposes of the calculation above shall, until the consolidated audited accounts of the Company for the financial period in which the relevant corporation or other business entity becomes a Non-listed Controlled Entity are issued, be deemed to be a reference to the then latest consolidated audited accounts of the Company and its Non-listed Controlled Entities adjusted to consolidate the latest audited accounts (consolidated in the case of a Non-listed Controlled Entity which itself has Non-listed Controlled Entities) of such Non-listed Controlled Entity in such accounts;</w:t>
      </w:r>
    </w:p>
    <w:p>
      <w:pPr>
        <w:spacing w:after="0" w:line="19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8" w:name="page59"/>
    <w:bookmarkEnd w:id="58"/>
    <w:p>
      <w:pPr>
        <w:ind w:left="1300" w:firstLine="641"/>
        <w:spacing w:after="0" w:line="259" w:lineRule="auto"/>
        <w:tabs>
          <w:tab w:leader="none" w:pos="26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at any relevant time in relation to the Company or any Non-listed Controlled Entity which itself has Non-listed Controlled Entities, no consolidated accounts are prepared and audited, total revenue, net profit or net assets of the Company and/or any such Controlled Entity shall be determined on the basis of pro forma consolidated accounts prepared for this purpose by or on behalf of the Company;</w:t>
      </w:r>
    </w:p>
    <w:p>
      <w:pPr>
        <w:spacing w:after="0" w:line="186" w:lineRule="exact"/>
        <w:rPr>
          <w:rFonts w:ascii="Arial" w:cs="Arial" w:eastAsia="Arial" w:hAnsi="Arial"/>
          <w:sz w:val="18"/>
          <w:szCs w:val="18"/>
          <w:color w:val="auto"/>
        </w:rPr>
      </w:pPr>
    </w:p>
    <w:p>
      <w:pPr>
        <w:ind w:left="1300" w:right="160" w:firstLine="641"/>
        <w:spacing w:after="0" w:line="286" w:lineRule="auto"/>
        <w:tabs>
          <w:tab w:leader="none" w:pos="2604"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at any relevant time in relation to any Non-listed Controlled Entity, no accounts are audited, its net assets (consolidated, if appropriate) shall be determined on the basis of pro forma accounts (consolidated, if appropriate) of the relevant Non-listed Controlled Entity prepared for this purpose by or on behalf of the Company; and</w:t>
      </w:r>
    </w:p>
    <w:p>
      <w:pPr>
        <w:spacing w:after="0" w:line="165" w:lineRule="exact"/>
        <w:rPr>
          <w:rFonts w:ascii="Arial" w:cs="Arial" w:eastAsia="Arial" w:hAnsi="Arial"/>
          <w:sz w:val="17"/>
          <w:szCs w:val="17"/>
          <w:color w:val="auto"/>
        </w:rPr>
      </w:pPr>
    </w:p>
    <w:p>
      <w:pPr>
        <w:ind w:left="1300" w:firstLine="641"/>
        <w:spacing w:after="0" w:line="279" w:lineRule="auto"/>
        <w:tabs>
          <w:tab w:leader="none" w:pos="2604"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the accounts of any Non-listed Controlled Entity (not being a Non-listed Controlled Entity referred to in proviso (1) above) are not consolidated with the accounts of the Company, then the determination of whether or not such Non-listed Controlled Entity is a Principal Controlled Entity shall be based on a pro forma consolidation of its accounts (consolidated, if appropriate) with the consolidated accounts of the Company (determined on the basis of the foregoing); or</w:t>
      </w:r>
    </w:p>
    <w:p>
      <w:pPr>
        <w:spacing w:after="0" w:line="171" w:lineRule="exact"/>
        <w:rPr>
          <w:rFonts w:ascii="Arial" w:cs="Arial" w:eastAsia="Arial" w:hAnsi="Arial"/>
          <w:sz w:val="17"/>
          <w:szCs w:val="17"/>
          <w:color w:val="auto"/>
        </w:rPr>
      </w:pPr>
    </w:p>
    <w:p>
      <w:pPr>
        <w:ind w:left="640" w:right="140" w:firstLine="653"/>
        <w:spacing w:after="0" w:line="259" w:lineRule="auto"/>
        <w:tabs>
          <w:tab w:leader="none" w:pos="19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to which is transferred all or substantially all of the assets of a Controlled Entity which immediately prior to the transfer was a Principal Controlled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effect from such transfer, the Controlled Entity which so transfers its assets and undertakings shall cease to be a Principal Controlled Entity (but without prejudice to paragraph (i) above) and the Controlled Entity to which the assets are so transferred shall become a Principal Controlled Entity.</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 Officers’ Certificate delivered to the Trustee certifying in good faith as to whether or not a Non-listed Controlled Entity is a Principal Controlled Entity shall be conclusive in the absence of manifest error.</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“Non-listed Controlled Entities” means the Controlled Entities other than (i) any Controlled Entities with shares of common stock or other common equity interests listed on a nationally recognized stock exchange, including but not limited to the Shanghai Stock Exchange; and (ii) any Subsidiaries or Consolidated Affiliated Entities of any Controlled Entity referred to in clause (i) of this definition.</w:t>
      </w:r>
    </w:p>
    <w:p>
      <w:pPr>
        <w:spacing w:after="0" w:line="166" w:lineRule="exact"/>
        <w:rPr>
          <w:sz w:val="20"/>
          <w:szCs w:val="20"/>
          <w:color w:val="auto"/>
        </w:rPr>
      </w:pPr>
    </w:p>
    <w:p>
      <w:pPr>
        <w:ind w:left="640"/>
        <w:spacing w:after="0"/>
        <w:tabs>
          <w:tab w:leader="none" w:pos="39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dated [</w:t>
      </w:r>
      <w:r>
        <w:rPr>
          <w:sz w:val="20"/>
          <w:szCs w:val="20"/>
          <w:color w:val="auto"/>
        </w:rPr>
        <w:tab/>
      </w:r>
      <w:r>
        <w:rPr>
          <w:rFonts w:ascii="Arial" w:cs="Arial" w:eastAsia="Arial" w:hAnsi="Arial"/>
          <w:sz w:val="16"/>
          <w:szCs w:val="16"/>
          <w:color w:val="auto"/>
        </w:rPr>
        <w:t>], 2019, relating to the offering of Securities.</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59" w:name="page60"/>
    <w:bookmarkEnd w:id="59"/>
    <w:p>
      <w:pPr>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any interest payable on any Security on any Interest Payment Date, the close of business on such date specified in such Security for the payment of interest pursuant to Section 3.01.</w:t>
      </w:r>
    </w:p>
    <w:p>
      <w:pPr>
        <w:spacing w:after="0" w:line="170" w:lineRule="exact"/>
        <w:rPr>
          <w:sz w:val="20"/>
          <w:szCs w:val="20"/>
          <w:color w:val="auto"/>
        </w:rPr>
      </w:pPr>
    </w:p>
    <w:p>
      <w:pPr>
        <w:jc w:val="both"/>
        <w:ind w:left="4"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means,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81" w:lineRule="exact"/>
        <w:rPr>
          <w:sz w:val="20"/>
          <w:szCs w:val="20"/>
          <w:color w:val="auto"/>
        </w:rPr>
      </w:pPr>
    </w:p>
    <w:p>
      <w:pPr>
        <w:ind w:left="4"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when used with respect to any Security to be redeemed, in whole or in part, the price at which it is to be redeemed pursuant to the terms of the Security and this Indenture.</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provided in Section 3.05(a).</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provided in Section 3.05(a).</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Jurisdiction</w:t>
      </w:r>
      <w:r>
        <w:rPr>
          <w:rFonts w:ascii="Arial" w:cs="Arial" w:eastAsia="Arial" w:hAnsi="Arial"/>
          <w:sz w:val="18"/>
          <w:szCs w:val="18"/>
          <w:color w:val="auto"/>
        </w:rPr>
        <w:t>” has the meaning provided in Section 6.05(a).</w:t>
      </w:r>
    </w:p>
    <w:p>
      <w:pPr>
        <w:spacing w:after="0" w:line="225" w:lineRule="exact"/>
        <w:rPr>
          <w:sz w:val="20"/>
          <w:szCs w:val="20"/>
          <w:color w:val="auto"/>
        </w:rPr>
      </w:pPr>
    </w:p>
    <w:p>
      <w:pPr>
        <w:jc w:val="both"/>
        <w:ind w:left="4" w:right="2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with respect to the Trustee, any officer assigned to the Corporate Trust Office (or any successor division or unit) of the Trustee, who shall have direct responsibility for the administration of this Indenture, and any other officer of the Trustee to whom any corporate trust matter is referred because of such officer’s knowledge of and familiarity with the particular subject.</w:t>
      </w:r>
    </w:p>
    <w:p>
      <w:pPr>
        <w:spacing w:after="0" w:line="16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as constituted from time to time.</w:t>
      </w:r>
    </w:p>
    <w:p>
      <w:pPr>
        <w:spacing w:after="0" w:line="225" w:lineRule="exact"/>
        <w:rPr>
          <w:sz w:val="20"/>
          <w:szCs w:val="20"/>
          <w:color w:val="auto"/>
        </w:rPr>
      </w:pPr>
    </w:p>
    <w:p>
      <w:pPr>
        <w:ind w:left="4"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security or securities, as the case may be, duly authenticated by the Trustee and delivered under this Indenture.</w:t>
      </w:r>
    </w:p>
    <w:p>
      <w:pPr>
        <w:spacing w:after="0" w:line="170"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Custodian</w:t>
      </w:r>
      <w:r>
        <w:rPr>
          <w:rFonts w:ascii="Arial" w:cs="Arial" w:eastAsia="Arial" w:hAnsi="Arial"/>
          <w:sz w:val="18"/>
          <w:szCs w:val="18"/>
          <w:color w:val="auto"/>
        </w:rPr>
        <w:t>” means the custodian with respect to any Global Security appointed by the Depositary, or any successor Person thereto, and shall initially be the Paying Agent.</w:t>
      </w:r>
    </w:p>
    <w:p>
      <w:pPr>
        <w:spacing w:after="0" w:line="170" w:lineRule="exact"/>
        <w:rPr>
          <w:sz w:val="20"/>
          <w:szCs w:val="20"/>
          <w:color w:val="auto"/>
        </w:rPr>
      </w:pPr>
    </w:p>
    <w:p>
      <w:pPr>
        <w:ind w:left="4" w:right="1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means the principal of, premium, if any, or interest on (i) Indebtedness of the Company, whether outstanding on the date hereof or thereafter created, incurred, assumed or guaranteed, for money borrowed other than (A) any Indebtedness of the Company which when incurred, and without respect to any election under Section 1111(b) of the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 (ii) renewals, extensions, modifications and refundings of any such Indebtedness. For purposes of the foregoing and the definition of “</w:t>
      </w:r>
      <w:r>
        <w:rPr>
          <w:rFonts w:ascii="Arial" w:cs="Arial" w:eastAsia="Arial" w:hAnsi="Arial"/>
          <w:sz w:val="16"/>
          <w:szCs w:val="16"/>
          <w:u w:val="single" w:color="auto"/>
          <w:color w:val="auto"/>
        </w:rPr>
        <w:t>Senior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Indebtedness</w:t>
      </w:r>
      <w:r>
        <w:rPr>
          <w:rFonts w:ascii="Arial" w:cs="Arial" w:eastAsia="Arial" w:hAnsi="Arial"/>
          <w:sz w:val="16"/>
          <w:szCs w:val="16"/>
          <w:color w:val="auto"/>
        </w:rPr>
        <w:t>,” the phrase “subordinated in right of payment” means debt subordination only and not lien subordination, and accordingly,</w:t>
      </w:r>
    </w:p>
    <w:p>
      <w:pPr>
        <w:spacing w:after="0" w:line="3" w:lineRule="exact"/>
        <w:rPr>
          <w:sz w:val="20"/>
          <w:szCs w:val="20"/>
          <w:color w:val="auto"/>
        </w:rPr>
      </w:pPr>
    </w:p>
    <w:p>
      <w:pPr>
        <w:ind w:left="4" w:right="120" w:hanging="4"/>
        <w:spacing w:after="0" w:line="254"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unsecured indebtedness shall not be deemed to be subordinated in right of payment to secured indebtedness merely by virtue of the fact that it is unsecured, and (y)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60" w:name="page61"/>
    <w:bookmarkEnd w:id="6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has the meaning provided in Section 3.08(b)(i).</w:t>
      </w:r>
    </w:p>
    <w:p>
      <w:pPr>
        <w:spacing w:after="0" w:line="225"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when used with respect to any Security or any installment of interest thereon, the date specified in such Security as the fixed date on which the principal (or any portion thereof) of or premium, if any, on such Security or such installment of interest is due and payable.</w:t>
      </w:r>
    </w:p>
    <w:p>
      <w:pPr>
        <w:spacing w:after="0" w:line="181" w:lineRule="exact"/>
        <w:rPr>
          <w:sz w:val="20"/>
          <w:szCs w:val="20"/>
          <w:color w:val="auto"/>
        </w:rPr>
      </w:pPr>
    </w:p>
    <w:p>
      <w:pPr>
        <w:ind w:left="660"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(i) any corporation, association or other business entity (other than a partnership, joint venture, 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w:t>
      </w:r>
    </w:p>
    <w:p>
      <w:pPr>
        <w:ind w:left="660" w:right="20" w:hanging="4"/>
        <w:spacing w:after="0" w:line="295" w:lineRule="auto"/>
        <w:tabs>
          <w:tab w:leader="none" w:pos="9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partnership, joint venture limited liability company or similar entity of which more than 50% of the capital accounts, distribution rights, total equity and voting interests or general or limited partnership interests, as applicable, is, in the case of clauses (i) and (ii), voting at the time owned or controlled, directly or indirectly, by (A) such Person, (B) such Person and one or more Subsidiaries of such Person or (C) one or more Subsidiaries of such Person. Unless otherwise specified herein, each reference to a Subsidiary will refer to a Subsidiary of the Company.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Company</w:t>
      </w:r>
      <w:r>
        <w:rPr>
          <w:rFonts w:ascii="Arial" w:cs="Arial" w:eastAsia="Arial" w:hAnsi="Arial"/>
          <w:sz w:val="18"/>
          <w:szCs w:val="18"/>
          <w:color w:val="auto"/>
        </w:rPr>
        <w:t>” has the meaning provided in Section 3.06(i).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Jurisdiction</w:t>
      </w:r>
      <w:r>
        <w:rPr>
          <w:rFonts w:ascii="Arial" w:cs="Arial" w:eastAsia="Arial" w:hAnsi="Arial"/>
          <w:sz w:val="18"/>
          <w:szCs w:val="18"/>
          <w:color w:val="auto"/>
        </w:rPr>
        <w:t>” has the meaning provided in Section 6.05(e).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Change</w:t>
      </w:r>
      <w:r>
        <w:rPr>
          <w:rFonts w:ascii="Arial" w:cs="Arial" w:eastAsia="Arial" w:hAnsi="Arial"/>
          <w:sz w:val="18"/>
          <w:szCs w:val="18"/>
          <w:color w:val="auto"/>
        </w:rPr>
        <w:t>” has the meaning provided in Section 4.07(a).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provided in Section 6.05(a).</w:t>
      </w:r>
    </w:p>
    <w:p>
      <w:pPr>
        <w:spacing w:after="0" w:line="225" w:lineRule="exact"/>
        <w:rPr>
          <w:sz w:val="20"/>
          <w:szCs w:val="20"/>
          <w:color w:val="auto"/>
        </w:rPr>
      </w:pPr>
    </w:p>
    <w:p>
      <w:pPr>
        <w:ind w:left="660"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Equity</w:t>
      </w:r>
      <w:r>
        <w:rPr>
          <w:rFonts w:ascii="Arial" w:cs="Arial" w:eastAsia="Arial" w:hAnsi="Arial"/>
          <w:sz w:val="16"/>
          <w:szCs w:val="16"/>
          <w:color w:val="auto"/>
        </w:rPr>
        <w:t>,” as of any date, means the total equity attributable to the Company’s shareholders on a consolidated basis determined in accordance with U.S. GAAP, as shown on the consolidated balance sheet of the Company for the most recent fiscal quarter.</w:t>
      </w:r>
    </w:p>
    <w:p>
      <w:pPr>
        <w:spacing w:after="0" w:line="124" w:lineRule="exact"/>
        <w:rPr>
          <w:sz w:val="20"/>
          <w:szCs w:val="20"/>
          <w:color w:val="auto"/>
        </w:rPr>
      </w:pPr>
    </w:p>
    <w:p>
      <w:pPr>
        <w:ind w:left="660"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Payables</w:t>
      </w:r>
      <w:r>
        <w:rPr>
          <w:rFonts w:ascii="Arial" w:cs="Arial" w:eastAsia="Arial" w:hAnsi="Arial"/>
          <w:sz w:val="18"/>
          <w:szCs w:val="18"/>
          <w:color w:val="auto"/>
        </w:rPr>
        <w:t>”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Person named as the “</w:t>
      </w:r>
      <w:r>
        <w:rPr>
          <w:rFonts w:ascii="Arial" w:cs="Arial" w:eastAsia="Arial" w:hAnsi="Arial"/>
          <w:sz w:val="17"/>
          <w:szCs w:val="17"/>
          <w:u w:val="single" w:color="auto"/>
          <w:color w:val="auto"/>
        </w:rPr>
        <w:t>Trustee</w:t>
      </w:r>
      <w:r>
        <w:rPr>
          <w:rFonts w:ascii="Arial" w:cs="Arial" w:eastAsia="Arial" w:hAnsi="Arial"/>
          <w:sz w:val="17"/>
          <w:szCs w:val="17"/>
          <w:color w:val="auto"/>
        </w:rPr>
        <w:t>” in the first paragraph of this Indenture until a successor Trustee shall have become such with respect to one or more series of Securities pursuant to the applicable provisions of this Indenture, and thereafter “</w:t>
      </w:r>
      <w:r>
        <w:rPr>
          <w:rFonts w:ascii="Arial" w:cs="Arial" w:eastAsia="Arial" w:hAnsi="Arial"/>
          <w:sz w:val="17"/>
          <w:szCs w:val="17"/>
          <w:u w:val="single" w:color="auto"/>
          <w:color w:val="auto"/>
        </w:rPr>
        <w:t>Trustee</w:t>
      </w:r>
      <w:r>
        <w:rPr>
          <w:rFonts w:ascii="Arial" w:cs="Arial" w:eastAsia="Arial" w:hAnsi="Arial"/>
          <w:sz w:val="17"/>
          <w:szCs w:val="17"/>
          <w:color w:val="auto"/>
        </w:rPr>
        <w:t>” shall mean or include each Person who is then a Trustee hereunder, and if at any time there is more than one such Person, “</w:t>
      </w:r>
      <w:r>
        <w:rPr>
          <w:rFonts w:ascii="Arial" w:cs="Arial" w:eastAsia="Arial" w:hAnsi="Arial"/>
          <w:sz w:val="17"/>
          <w:szCs w:val="17"/>
          <w:u w:val="single" w:color="auto"/>
          <w:color w:val="auto"/>
        </w:rPr>
        <w:t>Trustee</w:t>
      </w:r>
      <w:r>
        <w:rPr>
          <w:rFonts w:ascii="Arial" w:cs="Arial" w:eastAsia="Arial" w:hAnsi="Arial"/>
          <w:sz w:val="17"/>
          <w:szCs w:val="17"/>
          <w:color w:val="auto"/>
        </w:rPr>
        <w:t>” as used with respect to the Securities of any series shall mean the Trustee with respect to Securities of that series.</w:t>
      </w:r>
    </w:p>
    <w:p>
      <w:pPr>
        <w:spacing w:after="0" w:line="171"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such currency of the United States as at the time of payment shall be legal tender for the payment of public and private debts.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GAAP</w:t>
      </w:r>
      <w:r>
        <w:rPr>
          <w:rFonts w:ascii="Arial" w:cs="Arial" w:eastAsia="Arial" w:hAnsi="Arial"/>
          <w:sz w:val="18"/>
          <w:szCs w:val="18"/>
          <w:color w:val="auto"/>
        </w:rPr>
        <w:t>” refers to generally accepted accounting principles in the United States.</w:t>
      </w:r>
    </w:p>
    <w:p>
      <w:pPr>
        <w:spacing w:after="0" w:line="225" w:lineRule="exact"/>
        <w:rPr>
          <w:sz w:val="20"/>
          <w:szCs w:val="20"/>
          <w:color w:val="auto"/>
        </w:rPr>
      </w:pPr>
    </w:p>
    <w:p>
      <w:pPr>
        <w:ind w:left="660" w:right="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xml:space="preserve">” means securities that are (i) direct obligations of the United States for the payment of which its full faith and credit is pledged or (ii) obligations of an agency or instrumentality of the United States the payment of which is unconditionally guaranteed as a full faith and credit obligation by the United States,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92" w:lineRule="exact"/>
        <w:rPr>
          <w:sz w:val="20"/>
          <w:szCs w:val="20"/>
          <w:color w:val="auto"/>
        </w:rPr>
      </w:pPr>
    </w:p>
    <w:p>
      <w:pPr>
        <w:ind w:left="660"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shall mean the United States of America (including the States and the District of Columbia), its territories and its possessions and other areas subject to its jurisdiction.</w:t>
      </w:r>
    </w:p>
    <w:p>
      <w:pPr>
        <w:spacing w:after="0" w:line="170" w:lineRule="exact"/>
        <w:rPr>
          <w:sz w:val="20"/>
          <w:szCs w:val="20"/>
          <w:color w:val="auto"/>
        </w:rPr>
      </w:pPr>
    </w:p>
    <w:p>
      <w:pPr>
        <w:ind w:left="660"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 Person means all classes of Capital Stock of such Person then outstanding and normally entitled to vote in the election of directors, managers or trustees, as applicable, of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For all purposes of this Indenture, except as otherwise expressly provided or unless the context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ind w:left="660" w:right="180" w:firstLine="645"/>
        <w:spacing w:after="0" w:line="277" w:lineRule="auto"/>
        <w:tabs>
          <w:tab w:leader="none" w:pos="19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Article</w:t>
      </w:r>
      <w:r>
        <w:rPr>
          <w:rFonts w:ascii="Arial" w:cs="Arial" w:eastAsia="Arial" w:hAnsi="Arial"/>
          <w:sz w:val="18"/>
          <w:szCs w:val="18"/>
          <w:color w:val="auto"/>
        </w:rPr>
        <w:t>” or “</w:t>
      </w:r>
      <w:r>
        <w:rPr>
          <w:rFonts w:ascii="Arial" w:cs="Arial" w:eastAsia="Arial" w:hAnsi="Arial"/>
          <w:sz w:val="18"/>
          <w:szCs w:val="18"/>
          <w:u w:val="single" w:color="auto"/>
          <w:color w:val="auto"/>
        </w:rPr>
        <w:t>Section</w:t>
      </w:r>
      <w:r>
        <w:rPr>
          <w:rFonts w:ascii="Arial" w:cs="Arial" w:eastAsia="Arial" w:hAnsi="Arial"/>
          <w:sz w:val="18"/>
          <w:szCs w:val="18"/>
          <w:color w:val="auto"/>
        </w:rPr>
        <w:t>” or other subdivision herein are references to an Article, Section or other subdivision of the Indenture, unless the context otherwise requires; and</w:t>
      </w:r>
    </w:p>
    <w:p>
      <w:pPr>
        <w:spacing w:after="0" w:line="170" w:lineRule="exact"/>
        <w:rPr>
          <w:rFonts w:ascii="Arial" w:cs="Arial" w:eastAsia="Arial" w:hAnsi="Arial"/>
          <w:sz w:val="18"/>
          <w:szCs w:val="18"/>
          <w:color w:val="auto"/>
        </w:rPr>
      </w:pPr>
    </w:p>
    <w:p>
      <w:pPr>
        <w:ind w:left="660" w:right="20" w:firstLine="645"/>
        <w:spacing w:after="0" w:line="259" w:lineRule="auto"/>
        <w:tabs>
          <w:tab w:leader="none" w:pos="19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references to any agreement, instrument, statute or regulation defined or referred to herein or in any instrument establishing the terms of any Securities (or executed in connection therewith) are references to such agreement, instrument, statute or regulation as from time to time amended, modified, supplemented or replaced, including (in the case of agreements or instruments) by waiver or consent and by succession of comparable successor agreements, instruments, statutes or regulations.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Generally</w:t>
      </w:r>
      <w:r>
        <w:rPr>
          <w:rFonts w:ascii="Arial" w:cs="Arial" w:eastAsia="Arial" w:hAnsi="Arial"/>
          <w:sz w:val="18"/>
          <w:szCs w:val="18"/>
          <w:color w:val="auto"/>
        </w:rPr>
        <w:t>.</w:t>
      </w:r>
    </w:p>
    <w:p>
      <w:pPr>
        <w:spacing w:after="0" w:line="225" w:lineRule="exact"/>
        <w:rPr>
          <w:sz w:val="20"/>
          <w:szCs w:val="20"/>
          <w:color w:val="auto"/>
        </w:rPr>
      </w:pPr>
    </w:p>
    <w:p>
      <w:pPr>
        <w:ind w:right="40" w:firstLine="656"/>
        <w:spacing w:after="0" w:line="272" w:lineRule="auto"/>
        <w:tabs>
          <w:tab w:leader="none" w:pos="129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Securities of each series shall be substantially in the form set forth in Exhibit A attached hereto or as shall be established pursuant to a Company Order, Officers’ Certificate or in one or more indentures supplemental hereto, in each case with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77" w:lineRule="exact"/>
        <w:rPr>
          <w:rFonts w:ascii="Arial" w:cs="Arial" w:eastAsia="Arial" w:hAnsi="Arial"/>
          <w:sz w:val="17"/>
          <w:szCs w:val="17"/>
          <w:color w:val="auto"/>
        </w:rPr>
      </w:pPr>
    </w:p>
    <w:p>
      <w:pPr>
        <w:ind w:right="480" w:firstLine="656"/>
        <w:spacing w:after="0" w:line="264" w:lineRule="auto"/>
        <w:tabs>
          <w:tab w:leader="none" w:pos="13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64" w:lineRule="auto"/>
        <w:tabs>
          <w:tab w:leader="none" w:pos="12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form of the Trustee’s certificate of authentication to be borne by the Securities shall be substantially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Date of authentication:</w:t>
            </w:r>
          </w:p>
        </w:tc>
        <w:tc>
          <w:tcPr>
            <w:tcW w:w="3520" w:type="dxa"/>
            <w:vAlign w:val="bottom"/>
            <w:tcBorders>
              <w:bottom w:val="single" w:sz="8" w:color="auto"/>
            </w:tcBorders>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[NAME OF TRUSTEE],</w:t>
            </w:r>
          </w:p>
        </w:tc>
        <w:tc>
          <w:tcPr>
            <w:tcW w:w="40" w:type="dxa"/>
            <w:vAlign w:val="bottom"/>
          </w:tcPr>
          <w:p>
            <w:pPr>
              <w:spacing w:after="0"/>
              <w:rPr>
                <w:sz w:val="20"/>
                <w:szCs w:val="20"/>
                <w:color w:val="auto"/>
              </w:rPr>
            </w:pPr>
          </w:p>
        </w:tc>
      </w:tr>
      <w:tr>
        <w:trPr>
          <w:trHeight w:val="210"/>
        </w:trPr>
        <w:tc>
          <w:tcPr>
            <w:tcW w:w="22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as Trustee</w:t>
            </w:r>
          </w:p>
        </w:tc>
        <w:tc>
          <w:tcPr>
            <w:tcW w:w="40" w:type="dxa"/>
            <w:vAlign w:val="bottom"/>
          </w:tcPr>
          <w:p>
            <w:pPr>
              <w:spacing w:after="0"/>
              <w:rPr>
                <w:sz w:val="18"/>
                <w:szCs w:val="18"/>
                <w:color w:val="auto"/>
              </w:rPr>
            </w:pPr>
          </w:p>
        </w:tc>
      </w:tr>
      <w:tr>
        <w:trPr>
          <w:trHeight w:val="418"/>
        </w:trPr>
        <w:tc>
          <w:tcPr>
            <w:tcW w:w="2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224"/>
        </w:trPr>
        <w:tc>
          <w:tcPr>
            <w:tcW w:w="22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19"/>
                <w:szCs w:val="19"/>
                <w:color w:val="auto"/>
              </w:rPr>
            </w:pPr>
          </w:p>
        </w:tc>
      </w:tr>
      <w:tr>
        <w:trPr>
          <w:trHeight w:val="418"/>
        </w:trPr>
        <w:tc>
          <w:tcPr>
            <w:tcW w:w="2200" w:type="dxa"/>
            <w:vAlign w:val="bottom"/>
          </w:tcPr>
          <w:p>
            <w:pPr>
              <w:spacing w:after="0"/>
              <w:rPr>
                <w:sz w:val="24"/>
                <w:szCs w:val="24"/>
                <w:color w:val="auto"/>
              </w:rPr>
            </w:pPr>
          </w:p>
        </w:tc>
        <w:tc>
          <w:tcPr>
            <w:tcW w:w="4000" w:type="dxa"/>
            <w:vAlign w:val="bottom"/>
            <w:gridSpan w:val="2"/>
          </w:tcPr>
          <w:p>
            <w:pPr>
              <w:jc w:val="right"/>
              <w:ind w:right="310"/>
              <w:spacing w:after="0"/>
              <w:rPr>
                <w:sz w:val="20"/>
                <w:szCs w:val="20"/>
                <w:color w:val="auto"/>
              </w:rPr>
            </w:pPr>
            <w:r>
              <w:rPr>
                <w:rFonts w:ascii="Arial" w:cs="Arial" w:eastAsia="Arial" w:hAnsi="Arial"/>
                <w:sz w:val="18"/>
                <w:szCs w:val="18"/>
                <w:color w:val="auto"/>
              </w:rPr>
              <w:t>12</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20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2" w:name="page63"/>
    <w:bookmarkEnd w:id="62"/>
    <w:p>
      <w:pPr>
        <w:ind w:right="280" w:firstLine="648"/>
        <w:spacing w:after="0" w:line="26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 by an Authenticating Agent</w:t>
      </w:r>
      <w:r>
        <w:rPr>
          <w:rFonts w:ascii="Arial" w:cs="Arial" w:eastAsia="Arial" w:hAnsi="Arial"/>
          <w:sz w:val="18"/>
          <w:szCs w:val="18"/>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8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issued referred to in the within-mentioned Indenture.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Date of authentication:</w:t>
            </w:r>
          </w:p>
        </w:tc>
        <w:tc>
          <w:tcPr>
            <w:tcW w:w="2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[NAME OF TRUSTEE],</w:t>
            </w:r>
          </w:p>
        </w:tc>
      </w:tr>
      <w:tr>
        <w:trPr>
          <w:trHeight w:val="210"/>
        </w:trPr>
        <w:tc>
          <w:tcPr>
            <w:tcW w:w="2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as Trustee</w:t>
            </w:r>
          </w:p>
        </w:tc>
      </w:tr>
      <w:tr>
        <w:trPr>
          <w:trHeight w:val="404"/>
        </w:trPr>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By:   [NAME OF AUTHENTICATING AGENT]</w:t>
            </w:r>
          </w:p>
        </w:tc>
      </w:tr>
      <w:tr>
        <w:trPr>
          <w:trHeight w:val="230"/>
        </w:trPr>
        <w:tc>
          <w:tcPr>
            <w:tcW w:w="2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00" w:type="dxa"/>
            <w:vAlign w:val="bottom"/>
            <w:gridSpan w:val="3"/>
          </w:tcPr>
          <w:p>
            <w:pPr>
              <w:ind w:left="480"/>
              <w:spacing w:after="0"/>
              <w:rPr>
                <w:sz w:val="20"/>
                <w:szCs w:val="20"/>
                <w:color w:val="auto"/>
              </w:rPr>
            </w:pPr>
            <w:r>
              <w:rPr>
                <w:rFonts w:ascii="Arial" w:cs="Arial" w:eastAsia="Arial" w:hAnsi="Arial"/>
                <w:sz w:val="18"/>
                <w:szCs w:val="18"/>
                <w:color w:val="auto"/>
              </w:rPr>
              <w:t>as Authenticating Agent</w:t>
            </w:r>
          </w:p>
        </w:tc>
      </w:tr>
      <w:tr>
        <w:trPr>
          <w:trHeight w:val="432"/>
        </w:trPr>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By:</w:t>
            </w:r>
          </w:p>
        </w:tc>
      </w:tr>
      <w:tr>
        <w:trPr>
          <w:trHeight w:val="224"/>
        </w:trPr>
        <w:tc>
          <w:tcPr>
            <w:tcW w:w="2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Authorized Signatory</w:t>
            </w:r>
          </w:p>
        </w:tc>
      </w:tr>
      <w:tr>
        <w:trPr>
          <w:trHeight w:val="418"/>
        </w:trPr>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740" w:type="dxa"/>
            <w:vAlign w:val="bottom"/>
            <w:gridSpan w:val="4"/>
          </w:tcPr>
          <w:p>
            <w:pPr>
              <w:jc w:val="center"/>
              <w:ind w:right="4680"/>
              <w:spacing w:after="0"/>
              <w:rPr>
                <w:sz w:val="20"/>
                <w:szCs w:val="20"/>
                <w:color w:val="auto"/>
              </w:rPr>
            </w:pPr>
            <w:r>
              <w:rPr>
                <w:rFonts w:ascii="Arial" w:cs="Arial" w:eastAsia="Arial" w:hAnsi="Arial"/>
                <w:sz w:val="18"/>
                <w:szCs w:val="18"/>
                <w:b w:val="1"/>
                <w:bCs w:val="1"/>
                <w:color w:val="auto"/>
              </w:rPr>
              <w:t>ARTICLE III</w:t>
            </w:r>
          </w:p>
        </w:tc>
      </w:tr>
      <w:tr>
        <w:trPr>
          <w:trHeight w:val="392"/>
        </w:trPr>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THE DEBT SECURITIES</w:t>
            </w:r>
          </w:p>
        </w:tc>
        <w:tc>
          <w:tcPr>
            <w:tcW w:w="4680" w:type="dxa"/>
            <w:vAlign w:val="bottom"/>
          </w:tcPr>
          <w:p>
            <w:pPr>
              <w:spacing w:after="0"/>
              <w:rPr>
                <w:sz w:val="24"/>
                <w:szCs w:val="24"/>
                <w:color w:val="auto"/>
              </w:rPr>
            </w:pPr>
          </w:p>
        </w:tc>
      </w:tr>
    </w:tbl>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 The Securities may be issued from time to time in one or more series. There shall be set forth in a Company Order, Officers’ Certificate or in one or more indentures supplemental hereto, prior to the issuance of Securities of any series:</w:t>
      </w:r>
    </w:p>
    <w:p>
      <w:pPr>
        <w:spacing w:after="0" w:line="181" w:lineRule="exact"/>
        <w:rPr>
          <w:sz w:val="20"/>
          <w:szCs w:val="20"/>
          <w:color w:val="auto"/>
        </w:rPr>
      </w:pPr>
    </w:p>
    <w:p>
      <w:pPr>
        <w:ind w:left="660" w:right="240" w:firstLine="645"/>
        <w:spacing w:after="0" w:line="277" w:lineRule="auto"/>
        <w:tabs>
          <w:tab w:leader="none" w:pos="19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70" w:lineRule="exact"/>
        <w:rPr>
          <w:rFonts w:ascii="Arial" w:cs="Arial" w:eastAsia="Arial" w:hAnsi="Arial"/>
          <w:sz w:val="18"/>
          <w:szCs w:val="18"/>
          <w:color w:val="auto"/>
        </w:rPr>
      </w:pPr>
    </w:p>
    <w:p>
      <w:pPr>
        <w:ind w:left="660" w:right="40" w:firstLine="645"/>
        <w:spacing w:after="0" w:line="312" w:lineRule="auto"/>
        <w:tabs>
          <w:tab w:leader="none" w:pos="1964"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 and the percentage or percentages of principal amount at which the Securities of the series will be issued;</w:t>
      </w:r>
    </w:p>
    <w:p>
      <w:pPr>
        <w:spacing w:after="0" w:line="146" w:lineRule="exact"/>
        <w:rPr>
          <w:rFonts w:ascii="Arial" w:cs="Arial" w:eastAsia="Arial" w:hAnsi="Arial"/>
          <w:sz w:val="16"/>
          <w:szCs w:val="16"/>
          <w:color w:val="auto"/>
        </w:rPr>
      </w:pPr>
    </w:p>
    <w:p>
      <w:pPr>
        <w:ind w:left="660" w:right="100" w:firstLine="645"/>
        <w:spacing w:after="0" w:line="264" w:lineRule="auto"/>
        <w:tabs>
          <w:tab w:leader="none" w:pos="19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left="-540" w:firstLine="645"/>
        <w:spacing w:after="0" w:line="257" w:lineRule="auto"/>
        <w:tabs>
          <w:tab w:leader="none" w:pos="7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88" w:lineRule="exact"/>
        <w:rPr>
          <w:rFonts w:ascii="Arial" w:cs="Arial" w:eastAsia="Arial" w:hAnsi="Arial"/>
          <w:sz w:val="18"/>
          <w:szCs w:val="18"/>
          <w:color w:val="auto"/>
        </w:rPr>
      </w:pPr>
    </w:p>
    <w:p>
      <w:pPr>
        <w:ind w:left="-540" w:right="80" w:firstLine="645"/>
        <w:spacing w:after="0" w:line="308" w:lineRule="auto"/>
        <w:tabs>
          <w:tab w:leader="none" w:pos="767"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other than U.S. Dollars, the Foreign Currency in which Securities of the series shall be denominated or in which payment of the principal of, premium, if any, or interest on the Securities of the series shall be payable and any other terms applicable thereto;</w:t>
      </w:r>
    </w:p>
    <w:p>
      <w:pPr>
        <w:spacing w:after="0" w:line="146" w:lineRule="exact"/>
        <w:rPr>
          <w:rFonts w:ascii="Arial" w:cs="Arial" w:eastAsia="Arial" w:hAnsi="Arial"/>
          <w:sz w:val="17"/>
          <w:szCs w:val="17"/>
          <w:color w:val="auto"/>
        </w:rPr>
      </w:pPr>
    </w:p>
    <w:p>
      <w:pPr>
        <w:ind w:left="-540" w:right="60" w:firstLine="645"/>
        <w:spacing w:after="0" w:line="264" w:lineRule="auto"/>
        <w:tabs>
          <w:tab w:leader="none" w:pos="76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81" w:lineRule="exact"/>
        <w:rPr>
          <w:rFonts w:ascii="Arial" w:cs="Arial" w:eastAsia="Arial" w:hAnsi="Arial"/>
          <w:sz w:val="18"/>
          <w:szCs w:val="18"/>
          <w:color w:val="auto"/>
        </w:rPr>
      </w:pPr>
    </w:p>
    <w:p>
      <w:pPr>
        <w:ind w:left="-540" w:right="140" w:firstLine="645"/>
        <w:spacing w:after="0" w:line="276" w:lineRule="auto"/>
        <w:tabs>
          <w:tab w:leader="none" w:pos="777"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(in addition to or in lieu of the provision set forth in Section 3.11) between the Currency in which the Securities are denominated or payable without such election and the Currency in which the Securities are to be paid if such election is made;</w:t>
      </w:r>
    </w:p>
    <w:p>
      <w:pPr>
        <w:spacing w:after="0" w:line="172" w:lineRule="exact"/>
        <w:rPr>
          <w:rFonts w:ascii="Arial" w:cs="Arial" w:eastAsia="Arial" w:hAnsi="Arial"/>
          <w:sz w:val="17"/>
          <w:szCs w:val="17"/>
          <w:color w:val="auto"/>
        </w:rPr>
      </w:pPr>
    </w:p>
    <w:p>
      <w:pPr>
        <w:ind w:left="-540" w:right="60" w:firstLine="645"/>
        <w:spacing w:after="0" w:line="259" w:lineRule="auto"/>
        <w:tabs>
          <w:tab w:leader="none" w:pos="7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 (each such place, the “</w:t>
      </w:r>
      <w:r>
        <w:rPr>
          <w:rFonts w:ascii="Arial" w:cs="Arial" w:eastAsia="Arial" w:hAnsi="Arial"/>
          <w:sz w:val="18"/>
          <w:szCs w:val="18"/>
          <w:u w:val="single" w:color="auto"/>
          <w:color w:val="auto"/>
        </w:rPr>
        <w:t>Place of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540" w:right="200" w:firstLine="645"/>
        <w:spacing w:after="0" w:line="342" w:lineRule="auto"/>
        <w:tabs>
          <w:tab w:leader="none" w:pos="7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23" w:lineRule="exact"/>
        <w:rPr>
          <w:rFonts w:ascii="Arial" w:cs="Arial" w:eastAsia="Arial" w:hAnsi="Arial"/>
          <w:sz w:val="16"/>
          <w:szCs w:val="16"/>
          <w:color w:val="auto"/>
        </w:rPr>
      </w:pPr>
    </w:p>
    <w:p>
      <w:pPr>
        <w:jc w:val="both"/>
        <w:ind w:left="-540" w:right="180" w:firstLine="645"/>
        <w:spacing w:after="0" w:line="259" w:lineRule="auto"/>
        <w:tabs>
          <w:tab w:leader="none" w:pos="7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64" w:name="page65"/>
    <w:bookmarkEnd w:id="64"/>
    <w:p>
      <w:pPr>
        <w:ind w:right="200" w:firstLine="645"/>
        <w:spacing w:after="0" w:line="277"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other than denominations of US$2,000 and multiples of US$1,000 in excess thereof, the denominations in which Securities of the series shall be issuable;</w:t>
      </w:r>
    </w:p>
    <w:p>
      <w:pPr>
        <w:spacing w:after="0" w:line="170" w:lineRule="exact"/>
        <w:rPr>
          <w:rFonts w:ascii="Arial" w:cs="Arial" w:eastAsia="Arial" w:hAnsi="Arial"/>
          <w:sz w:val="18"/>
          <w:szCs w:val="18"/>
          <w:color w:val="auto"/>
        </w:rPr>
      </w:pPr>
    </w:p>
    <w:p>
      <w:pPr>
        <w:ind w:right="20" w:firstLine="645"/>
        <w:spacing w:after="0" w:line="277" w:lineRule="auto"/>
        <w:tabs>
          <w:tab w:leader="none" w:pos="1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which shall be payable upon declaration of acceleration of the Maturity thereof pursuant to Section 7.02;</w:t>
      </w:r>
    </w:p>
    <w:p>
      <w:pPr>
        <w:spacing w:after="0" w:line="170" w:lineRule="exact"/>
        <w:rPr>
          <w:rFonts w:ascii="Arial" w:cs="Arial" w:eastAsia="Arial" w:hAnsi="Arial"/>
          <w:sz w:val="18"/>
          <w:szCs w:val="18"/>
          <w:color w:val="auto"/>
        </w:rPr>
      </w:pPr>
    </w:p>
    <w:p>
      <w:pPr>
        <w:ind w:right="100" w:firstLine="645"/>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as Original Issue Discount Securities and the amount of discount or premium, if any, with which such Securities may be issued;</w:t>
      </w:r>
    </w:p>
    <w:p>
      <w:pPr>
        <w:spacing w:after="0" w:line="170" w:lineRule="exact"/>
        <w:rPr>
          <w:rFonts w:ascii="Arial" w:cs="Arial" w:eastAsia="Arial" w:hAnsi="Arial"/>
          <w:sz w:val="18"/>
          <w:szCs w:val="18"/>
          <w:color w:val="auto"/>
        </w:rPr>
      </w:pPr>
    </w:p>
    <w:p>
      <w:pPr>
        <w:ind w:right="300" w:firstLine="645"/>
        <w:spacing w:after="0" w:line="277"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provisions, if any, for the defeasance of Securities of the series in whole or in part and any addition or change in the provisions related to satisfaction and discharge;</w:t>
      </w:r>
    </w:p>
    <w:p>
      <w:pPr>
        <w:spacing w:after="0" w:line="170" w:lineRule="exact"/>
        <w:rPr>
          <w:rFonts w:ascii="Arial" w:cs="Arial" w:eastAsia="Arial" w:hAnsi="Arial"/>
          <w:sz w:val="18"/>
          <w:szCs w:val="18"/>
          <w:color w:val="auto"/>
        </w:rPr>
      </w:pPr>
    </w:p>
    <w:p>
      <w:pPr>
        <w:ind w:firstLine="645"/>
        <w:spacing w:after="0" w:line="259"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in whole or in part in the form of one or more Global Securities and, in such case, (i) the Depositary for such Global Security or Securities, (ii) the form of legend in addition to or in lieu of that in Section 3.03(f) which shall be borne by such Global Security and (iii) the terms and conditions, if any, upon which interests in such Global Security or Securities may be exchanged in whole or in part for the individual Securities represented thereby;</w:t>
      </w:r>
    </w:p>
    <w:p>
      <w:pPr>
        <w:spacing w:after="0" w:line="186" w:lineRule="exact"/>
        <w:rPr>
          <w:rFonts w:ascii="Arial" w:cs="Arial" w:eastAsia="Arial" w:hAnsi="Arial"/>
          <w:sz w:val="18"/>
          <w:szCs w:val="18"/>
          <w:color w:val="auto"/>
        </w:rPr>
      </w:pPr>
    </w:p>
    <w:p>
      <w:pPr>
        <w:ind w:right="200" w:firstLine="645"/>
        <w:spacing w:after="0" w:line="277"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as of which any Global Security of the series shall be dated if other than the original issuance of the first Security of the series to be issued;</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form of the Securities of the series;</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Securities of the series are subject to subordination and the terms of such subordination;</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Securities of the series shall be secured;</w:t>
      </w:r>
    </w:p>
    <w:p>
      <w:pPr>
        <w:spacing w:after="0" w:line="225" w:lineRule="exact"/>
        <w:rPr>
          <w:rFonts w:ascii="Arial" w:cs="Arial" w:eastAsia="Arial" w:hAnsi="Arial"/>
          <w:sz w:val="18"/>
          <w:szCs w:val="18"/>
          <w:color w:val="auto"/>
        </w:rPr>
      </w:pPr>
    </w:p>
    <w:p>
      <w:pPr>
        <w:ind w:right="440" w:firstLine="645"/>
        <w:spacing w:after="0" w:line="277"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securities exchange(s) or automated quotation system(s) on which the Securities of the series will be listed or admitted to trading, as applicable, if any;</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Securities of the series;</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addition or change in the provisions related to compensation and reimbursement of the Trustee which applies to the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10" w:lineRule="exact"/>
        <w:rPr>
          <w:rFonts w:ascii="Arial" w:cs="Arial" w:eastAsia="Arial" w:hAnsi="Arial"/>
          <w:sz w:val="16"/>
          <w:szCs w:val="16"/>
          <w:color w:val="auto"/>
        </w:rPr>
      </w:pPr>
    </w:p>
    <w:p>
      <w:pPr>
        <w:ind w:right="340" w:firstLine="645"/>
        <w:spacing w:after="0" w:line="277" w:lineRule="auto"/>
        <w:tabs>
          <w:tab w:leader="none" w:pos="13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supplemental indentures set forth in Sections 14.01, 14.02 and 14.04 which applies to the Securities of the series;</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65" w:name="page66"/>
    <w:bookmarkEnd w:id="65"/>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upon the occurrence of specified events;</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VI which applies to the Securities of the series; and</w:t>
      </w:r>
    </w:p>
    <w:p>
      <w:pPr>
        <w:spacing w:after="0" w:line="225" w:lineRule="exact"/>
        <w:rPr>
          <w:sz w:val="20"/>
          <w:szCs w:val="20"/>
          <w:color w:val="auto"/>
        </w:rPr>
      </w:pPr>
    </w:p>
    <w:p>
      <w:pPr>
        <w:ind w:left="660" w:firstLine="645"/>
        <w:spacing w:after="0" w:line="259" w:lineRule="auto"/>
        <w:tabs>
          <w:tab w:leader="none" w:pos="19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terms shall not be inconsistent with the provisions of this Indenture, except as permitted by Section 14.01, but which may modify or delete any provision of this Indenture insofar as it applies to such series), including any terms which may be required by or advisable under the laws of the United States or regulations thereunder or advisable (as determined by the Company) in connection with the marketing of Securities of the series.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All Securities of any one series shall be substantially identical, except as to denomination and except as may otherwise be provided herein or set forth in a Company Order, Officers’ Certificate or in one or more indentures supplemental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additional Securities of an existing series are issued, such additional Securities shall not have the same CUSIP, ISIN or other identifying number unless such additional Securities are fungible with the existing Securities of such series for U.S. federal income tax purposes.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In the absence of any specification pursuant to Section 3.01 with respect to Securities of any series, the Securities of such series shall be issuable only as Securities in denominations of US$2,000 and multiples of US$1,000 in excess thereof, and shall be payable only in U.S. Dollars.</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(a) The Securities shall be executed in the name and on behalf of the Company by an Officer. Such signatures may be the manual or facsimile signatures of the present or any future such Officer. If the Person whose signature is on a Security no longer holds that office at the time the Security is authenticated and delivered, the Security shall nevertheless be valid.</w:t>
      </w:r>
    </w:p>
    <w:p>
      <w:pPr>
        <w:spacing w:after="0" w:line="166" w:lineRule="exact"/>
        <w:rPr>
          <w:sz w:val="20"/>
          <w:szCs w:val="20"/>
          <w:color w:val="auto"/>
        </w:rPr>
      </w:pPr>
    </w:p>
    <w:p>
      <w:pPr>
        <w:jc w:val="both"/>
        <w:ind w:right="140" w:firstLine="656"/>
        <w:spacing w:after="0" w:line="297" w:lineRule="auto"/>
        <w:tabs>
          <w:tab w:leader="none" w:pos="1304" w:val="left"/>
        </w:tabs>
        <w:numPr>
          <w:ilvl w:val="0"/>
          <w:numId w:val="62"/>
        </w:numPr>
        <w:rPr>
          <w:rFonts w:ascii="Arial" w:cs="Arial" w:eastAsia="Arial" w:hAnsi="Arial"/>
          <w:sz w:val="16"/>
          <w:szCs w:val="16"/>
          <w:color w:val="auto"/>
        </w:rPr>
      </w:pPr>
      <w:r>
        <w:rPr>
          <w:rFonts w:ascii="Arial" w:cs="Arial" w:eastAsia="Arial" w:hAnsi="Arial"/>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Company Order or Officers’ Certificate setting forth the terms of the Securities of a series. The Trustee shall thereupon authenticate and deliver such Securities without any further action by the Company. The Company Order shall specify the principal amount of Securities to be authenticated and the date on which the original issue of Securities is to be authenticated.</w:t>
      </w:r>
    </w:p>
    <w:p>
      <w:pPr>
        <w:spacing w:after="0" w:line="158" w:lineRule="exact"/>
        <w:rPr>
          <w:rFonts w:ascii="Arial" w:cs="Arial" w:eastAsia="Arial" w:hAnsi="Arial"/>
          <w:sz w:val="16"/>
          <w:szCs w:val="16"/>
          <w:color w:val="auto"/>
        </w:rPr>
      </w:pPr>
    </w:p>
    <w:p>
      <w:pPr>
        <w:ind w:right="120" w:firstLine="656"/>
        <w:spacing w:after="0" w:line="259" w:lineRule="auto"/>
        <w:tabs>
          <w:tab w:leader="none" w:pos="13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prepared in accordance with Section 16.01 stating that the conditions precedent, if any, provided for in the Indenture have been complied with, and an Opinion of Counsel, prepared in accordance with Section 16.01 and substantially in the form set forth below: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6" w:name="page67"/>
    <w:bookmarkEnd w:id="66"/>
    <w:p>
      <w:pPr>
        <w:ind w:left="660" w:right="180" w:firstLine="645"/>
        <w:spacing w:after="0" w:line="277" w:lineRule="auto"/>
        <w:tabs>
          <w:tab w:leader="none" w:pos="19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the form or forms of such Securities have been established in accordance with Article II and Section 3.01 and in conformity with the other provisions of this Indenture;</w:t>
      </w:r>
    </w:p>
    <w:p>
      <w:pPr>
        <w:spacing w:after="0" w:line="170" w:lineRule="exact"/>
        <w:rPr>
          <w:rFonts w:ascii="Arial" w:cs="Arial" w:eastAsia="Arial" w:hAnsi="Arial"/>
          <w:sz w:val="18"/>
          <w:szCs w:val="18"/>
          <w:color w:val="auto"/>
        </w:rPr>
      </w:pPr>
    </w:p>
    <w:p>
      <w:pPr>
        <w:ind w:left="660" w:right="740" w:firstLine="645"/>
        <w:spacing w:after="0" w:line="277" w:lineRule="auto"/>
        <w:tabs>
          <w:tab w:leader="none" w:pos="198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accordance with Section 3.01 and in conformity with the other provisions of this Indenture;</w:t>
      </w:r>
    </w:p>
    <w:p>
      <w:pPr>
        <w:spacing w:after="0" w:line="170" w:lineRule="exact"/>
        <w:rPr>
          <w:rFonts w:ascii="Arial" w:cs="Arial" w:eastAsia="Arial" w:hAnsi="Arial"/>
          <w:sz w:val="18"/>
          <w:szCs w:val="18"/>
          <w:color w:val="auto"/>
        </w:rPr>
      </w:pPr>
    </w:p>
    <w:p>
      <w:pPr>
        <w:ind w:left="660" w:firstLine="645"/>
        <w:spacing w:after="0" w:line="259" w:lineRule="auto"/>
        <w:tabs>
          <w:tab w:leader="none" w:pos="19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 and</w:t>
      </w:r>
    </w:p>
    <w:p>
      <w:pPr>
        <w:spacing w:after="0" w:line="186" w:lineRule="exact"/>
        <w:rPr>
          <w:rFonts w:ascii="Arial" w:cs="Arial" w:eastAsia="Arial" w:hAnsi="Arial"/>
          <w:sz w:val="18"/>
          <w:szCs w:val="18"/>
          <w:color w:val="auto"/>
        </w:rPr>
      </w:pPr>
    </w:p>
    <w:p>
      <w:pPr>
        <w:ind w:left="660" w:right="80" w:firstLine="645"/>
        <w:spacing w:after="0" w:line="277" w:lineRule="auto"/>
        <w:tabs>
          <w:tab w:leader="none" w:pos="19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all conditions precedent, if any, provided for in the Indenture in respect of the authentication and delivery by the Company of such Securities have been complied with.</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Notwithstanding the provisions of the preceding paragraph, if all Securities of a series are not to be originally issued at one time, it shall not be necessary to deliver the Officers’ Certificate or Opinion of Counsel otherwise required pursuant to such preceding paragraph at or prior to the authentication of each Security of such series if such Officers’ Certificate or Opinion of Counsel is delivered at or prior to the authentication upon original issuance of the first Security of such series to be issued;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(c) is intended to derogate Trustee’s rights to receive an Officers’ Certificate and Opinion of Counsel under Section 16.01.</w:t>
      </w:r>
    </w:p>
    <w:p>
      <w:pPr>
        <w:spacing w:after="0" w:line="188" w:lineRule="exact"/>
        <w:rPr>
          <w:sz w:val="20"/>
          <w:szCs w:val="20"/>
          <w:color w:val="auto"/>
        </w:rPr>
      </w:pPr>
    </w:p>
    <w:p>
      <w:pPr>
        <w:ind w:right="320" w:firstLine="656"/>
        <w:spacing w:after="0" w:line="308" w:lineRule="auto"/>
        <w:tabs>
          <w:tab w:leader="none" w:pos="1304"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w:t>
      </w:r>
    </w:p>
    <w:p>
      <w:pPr>
        <w:spacing w:after="0" w:line="225" w:lineRule="exact"/>
        <w:rPr>
          <w:rFonts w:ascii="Arial" w:cs="Arial" w:eastAsia="Arial" w:hAnsi="Arial"/>
          <w:sz w:val="18"/>
          <w:szCs w:val="18"/>
          <w:color w:val="auto"/>
        </w:rPr>
      </w:pPr>
    </w:p>
    <w:p>
      <w:pPr>
        <w:ind w:firstLine="656"/>
        <w:spacing w:after="0" w:line="288" w:lineRule="auto"/>
        <w:tabs>
          <w:tab w:leader="none" w:pos="1301"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w:t>
      </w:r>
    </w:p>
    <w:p>
      <w:pPr>
        <w:ind w:right="20" w:firstLine="8"/>
        <w:spacing w:after="0" w:line="323" w:lineRule="auto"/>
        <w:tabs>
          <w:tab w:leader="none" w:pos="26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shall be registered, if in registered form, in the name of the Depositary for such Global Security or Securities or the nominee of such Depositary, (iii) shall be delivered by the Trustee to such Depositary or pursuant to such Depositary’s instruction and (iv) shall bear a legend substantially to the following effect: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7" w:name="page68"/>
    <w:bookmarkEnd w:id="67"/>
    <w:p>
      <w:pPr>
        <w:ind w:left="660" w:right="40"/>
        <w:spacing w:after="0" w:line="257" w:lineRule="auto"/>
        <w:rPr>
          <w:sz w:val="20"/>
          <w:szCs w:val="20"/>
          <w:color w:val="auto"/>
        </w:rPr>
      </w:pPr>
      <w:r>
        <w:rPr>
          <w:rFonts w:ascii="Arial" w:cs="Arial" w:eastAsia="Arial" w:hAnsi="Arial"/>
          <w:sz w:val="18"/>
          <w:szCs w:val="18"/>
          <w:color w:val="auto"/>
        </w:rPr>
        <w:t>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aggregate principal amount of each Global Security may from time to time be increased or decreased by adjustments made on the records of the Security Custodian, as provided in this Indenture.</w:t>
      </w:r>
    </w:p>
    <w:p>
      <w:pPr>
        <w:spacing w:after="0" w:line="170" w:lineRule="exact"/>
        <w:rPr>
          <w:sz w:val="20"/>
          <w:szCs w:val="20"/>
          <w:color w:val="auto"/>
        </w:rPr>
      </w:pPr>
    </w:p>
    <w:p>
      <w:pPr>
        <w:ind w:right="160" w:firstLine="656"/>
        <w:spacing w:after="0" w:line="308" w:lineRule="auto"/>
        <w:tabs>
          <w:tab w:leader="none" w:pos="1317"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46" w:lineRule="exact"/>
        <w:rPr>
          <w:rFonts w:ascii="Arial" w:cs="Arial" w:eastAsia="Arial" w:hAnsi="Arial"/>
          <w:sz w:val="17"/>
          <w:szCs w:val="17"/>
          <w:color w:val="auto"/>
        </w:rPr>
      </w:pPr>
    </w:p>
    <w:p>
      <w:pPr>
        <w:ind w:right="20" w:firstLine="656"/>
        <w:spacing w:after="0" w:line="271" w:lineRule="auto"/>
        <w:tabs>
          <w:tab w:leader="none" w:pos="1304" w:val="left"/>
        </w:tabs>
        <w:numPr>
          <w:ilvl w:val="0"/>
          <w:numId w:val="66"/>
        </w:numPr>
        <w:rPr>
          <w:rFonts w:ascii="Arial" w:cs="Arial" w:eastAsia="Arial" w:hAnsi="Arial"/>
          <w:sz w:val="17"/>
          <w:szCs w:val="17"/>
          <w:color w:val="auto"/>
        </w:rPr>
      </w:pPr>
      <w:r>
        <w:rPr>
          <w:rFonts w:ascii="Arial" w:cs="Arial" w:eastAsia="Arial" w:hAnsi="Arial"/>
          <w:sz w:val="17"/>
          <w:szCs w:val="17"/>
          <w:color w:val="auto"/>
        </w:rPr>
        <w:t>Members of, or participants in, the Depositary (“</w:t>
      </w:r>
      <w:r>
        <w:rPr>
          <w:rFonts w:ascii="Arial" w:cs="Arial" w:eastAsia="Arial" w:hAnsi="Arial"/>
          <w:sz w:val="17"/>
          <w:szCs w:val="17"/>
          <w:u w:val="single" w:color="auto"/>
          <w:color w:val="auto"/>
        </w:rPr>
        <w:t>Members</w:t>
      </w:r>
      <w:r>
        <w:rPr>
          <w:rFonts w:ascii="Arial" w:cs="Arial" w:eastAsia="Arial" w:hAnsi="Arial"/>
          <w:sz w:val="17"/>
          <w:szCs w:val="17"/>
          <w:color w:val="auto"/>
        </w:rPr>
        <w:t>”)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78" w:lineRule="exact"/>
        <w:rPr>
          <w:rFonts w:ascii="Arial" w:cs="Arial" w:eastAsia="Arial" w:hAnsi="Arial"/>
          <w:sz w:val="17"/>
          <w:szCs w:val="17"/>
          <w:color w:val="auto"/>
        </w:rPr>
      </w:pPr>
    </w:p>
    <w:p>
      <w:pPr>
        <w:ind w:right="240" w:firstLine="656"/>
        <w:spacing w:after="0" w:line="279" w:lineRule="auto"/>
        <w:tabs>
          <w:tab w:leader="none" w:pos="13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signature of an authorized signatory of the Trustee, and such certificate upon any Security shall be conclusive evidence, and the only evidence, that such Security has been duly authenticated and delivered hereunder and is entitled to the benefits of this Indenture.</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(a) Pending the preparation of definitive Securities of any series, the Company may execute and, upon receipt of a Company Order, the Trustee shall authenticate and deliver, temporary Securities that are printed, lithographed, typewritten, mimeographed or otherwise reproduced, in any authorized denomination, substantially of the tenor of the definitive Securities in lieu of which they are issued, in registered form and with such appropriate insertions, omissions, substitutions and other variations as the officers executing such temporary Securities may determine, as conclusively evidenced by their execution of such temporary Securities. Any such temporary Security may be in global form,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160" w:firstLine="656"/>
        <w:spacing w:after="0" w:line="272" w:lineRule="auto"/>
        <w:tabs>
          <w:tab w:leader="none" w:pos="130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temporary Securities of any series are issued, the Company shall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maintained by the Company in a Place of Payment for such purposes provided in Section 6.02,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177" w:lineRule="exact"/>
        <w:rPr>
          <w:rFonts w:ascii="Arial" w:cs="Arial" w:eastAsia="Arial" w:hAnsi="Arial"/>
          <w:sz w:val="17"/>
          <w:szCs w:val="17"/>
          <w:color w:val="auto"/>
        </w:rPr>
      </w:pPr>
    </w:p>
    <w:p>
      <w:pPr>
        <w:ind w:right="100" w:firstLine="656"/>
        <w:spacing w:after="0" w:line="259" w:lineRule="auto"/>
        <w:tabs>
          <w:tab w:leader="none" w:pos="13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Registrar</w:t>
      </w:r>
      <w:r>
        <w:rPr>
          <w:rFonts w:ascii="Arial" w:cs="Arial" w:eastAsia="Arial" w:hAnsi="Arial"/>
          <w:sz w:val="17"/>
          <w:szCs w:val="17"/>
          <w:color w:val="auto"/>
        </w:rPr>
        <w:t>. (a) The Company shall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w:t>
      </w:r>
      <w:r>
        <w:rPr>
          <w:rFonts w:ascii="Arial" w:cs="Arial" w:eastAsia="Arial" w:hAnsi="Arial"/>
          <w:sz w:val="17"/>
          <w:szCs w:val="17"/>
          <w:u w:val="single" w:color="auto"/>
          <w:color w:val="auto"/>
        </w:rPr>
        <w:t>Registrar</w:t>
      </w:r>
      <w:r>
        <w:rPr>
          <w:rFonts w:ascii="Arial" w:cs="Arial" w:eastAsia="Arial" w:hAnsi="Arial"/>
          <w:sz w:val="17"/>
          <w:szCs w:val="17"/>
          <w:color w:val="auto"/>
        </w:rPr>
        <w:t>”), a security register for the registration and the registration of transfer or of exchange of the Securities (the registers maintained in such office and in any other office or agency of the Company in a Place of Payment being herein sometimes collectively referred to as the “</w:t>
      </w:r>
      <w:r>
        <w:rPr>
          <w:rFonts w:ascii="Arial" w:cs="Arial" w:eastAsia="Arial" w:hAnsi="Arial"/>
          <w:sz w:val="17"/>
          <w:szCs w:val="17"/>
          <w:u w:val="single" w:color="auto"/>
          <w:color w:val="auto"/>
        </w:rPr>
        <w:t>Register</w:t>
      </w:r>
      <w:r>
        <w:rPr>
          <w:rFonts w:ascii="Arial" w:cs="Arial" w:eastAsia="Arial" w:hAnsi="Arial"/>
          <w:sz w:val="17"/>
          <w:szCs w:val="17"/>
          <w:color w:val="auto"/>
        </w:rPr>
        <w:t>”),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w:t>
      </w:r>
      <w:r>
        <w:rPr>
          <w:rFonts w:ascii="Arial" w:cs="Arial" w:eastAsia="Arial" w:hAnsi="Arial"/>
          <w:sz w:val="17"/>
          <w:szCs w:val="17"/>
          <w:u w:val="single" w:color="auto"/>
          <w:color w:val="auto"/>
        </w:rPr>
        <w:t>Registrar</w:t>
      </w:r>
      <w:r>
        <w:rPr>
          <w:rFonts w:ascii="Arial" w:cs="Arial" w:eastAsia="Arial" w:hAnsi="Arial"/>
          <w:sz w:val="17"/>
          <w:szCs w:val="17"/>
          <w:color w:val="auto"/>
        </w:rPr>
        <w:t>” includes any co-registrar.</w:t>
      </w:r>
    </w:p>
    <w:p>
      <w:pPr>
        <w:spacing w:after="0" w:line="178" w:lineRule="exact"/>
        <w:rPr>
          <w:sz w:val="20"/>
          <w:szCs w:val="20"/>
          <w:color w:val="auto"/>
        </w:rPr>
      </w:pPr>
    </w:p>
    <w:p>
      <w:pPr>
        <w:ind w:right="240" w:firstLine="656"/>
        <w:spacing w:after="0" w:line="259" w:lineRule="auto"/>
        <w:tabs>
          <w:tab w:leader="none" w:pos="13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The Company or any Affiliate thereof may act as Registrar, co-Registrar or transfer agent.</w:t>
      </w:r>
    </w:p>
    <w:p>
      <w:pPr>
        <w:spacing w:after="0" w:line="186" w:lineRule="exact"/>
        <w:rPr>
          <w:rFonts w:ascii="Arial" w:cs="Arial" w:eastAsia="Arial" w:hAnsi="Arial"/>
          <w:sz w:val="18"/>
          <w:szCs w:val="18"/>
          <w:color w:val="auto"/>
        </w:rPr>
      </w:pPr>
    </w:p>
    <w:p>
      <w:pPr>
        <w:ind w:right="160" w:firstLine="656"/>
        <w:spacing w:after="0" w:line="302" w:lineRule="auto"/>
        <w:tabs>
          <w:tab w:leader="none" w:pos="13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hereby initially appoints the Trustee at its Corporate Trust Office as Registrar in connection with the Securities and this Indenture, until such time as another Person is appointed as such in replacement of the Trustee as such. So long as the Trustee serves as Registrar, it will be entitled as Registrar to the same rights of compensation, reimbursement and indemnification under Section 11.01 and Section 11.02 as if it were Trustee. No Person shall at any time be appointed as or act as Registrar unless such Person is at such time empowered under applicable law to act as such Registrar.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645"/>
        <w:spacing w:after="0" w:line="257" w:lineRule="auto"/>
        <w:tabs>
          <w:tab w:leader="none" w:pos="1978" w:val="left"/>
        </w:tabs>
        <w:numPr>
          <w:ilvl w:val="1"/>
          <w:numId w:val="69"/>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188" w:lineRule="exact"/>
        <w:rPr>
          <w:rFonts w:ascii="Arial" w:cs="Arial" w:eastAsia="Arial" w:hAnsi="Arial"/>
          <w:sz w:val="18"/>
          <w:szCs w:val="18"/>
          <w:color w:val="auto"/>
        </w:rPr>
      </w:pPr>
    </w:p>
    <w:p>
      <w:pPr>
        <w:ind w:left="660" w:firstLine="645"/>
        <w:spacing w:after="0" w:line="302" w:lineRule="auto"/>
        <w:tabs>
          <w:tab w:leader="none" w:pos="1987"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Exchange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7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81" w:lineRule="exact"/>
        <w:rPr>
          <w:rFonts w:ascii="Arial" w:cs="Arial" w:eastAsia="Arial" w:hAnsi="Arial"/>
          <w:sz w:val="18"/>
          <w:szCs w:val="18"/>
          <w:color w:val="auto"/>
        </w:rPr>
      </w:pPr>
    </w:p>
    <w:p>
      <w:pPr>
        <w:ind w:left="660" w:right="460" w:firstLine="645"/>
        <w:spacing w:after="0" w:line="277" w:lineRule="auto"/>
        <w:tabs>
          <w:tab w:leader="none" w:pos="1987" w:val="left"/>
        </w:tabs>
        <w:numPr>
          <w:ilvl w:val="1"/>
          <w:numId w:val="69"/>
        </w:numPr>
        <w:rPr>
          <w:rFonts w:ascii="Arial" w:cs="Arial" w:eastAsia="Arial" w:hAnsi="Arial"/>
          <w:sz w:val="18"/>
          <w:szCs w:val="18"/>
          <w:color w:val="auto"/>
        </w:rPr>
      </w:pPr>
      <w:r>
        <w:rPr>
          <w:rFonts w:ascii="Arial" w:cs="Arial" w:eastAsia="Arial" w:hAnsi="Arial"/>
          <w:sz w:val="18"/>
          <w:szCs w:val="18"/>
          <w:color w:val="auto"/>
        </w:rPr>
        <w:t>Whenever any Securities are so surrendered for exchange, the Company shall execute, and the Trustee shall authenticate and deliver, the Securities that the Holder making the exchange is entitled to receive.</w:t>
      </w:r>
    </w:p>
    <w:p>
      <w:pPr>
        <w:spacing w:after="0" w:line="170" w:lineRule="exact"/>
        <w:rPr>
          <w:rFonts w:ascii="Arial" w:cs="Arial" w:eastAsia="Arial" w:hAnsi="Arial"/>
          <w:sz w:val="18"/>
          <w:szCs w:val="18"/>
          <w:color w:val="auto"/>
        </w:rPr>
      </w:pPr>
    </w:p>
    <w:p>
      <w:pPr>
        <w:ind w:right="100" w:firstLine="656"/>
        <w:spacing w:after="0" w:line="277" w:lineRule="auto"/>
        <w:tabs>
          <w:tab w:leader="none" w:pos="1307"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Exchange of Global Securities for Individual Securities</w:t>
      </w:r>
      <w:r>
        <w:rPr>
          <w:rFonts w:ascii="Arial" w:cs="Arial" w:eastAsia="Arial" w:hAnsi="Arial"/>
          <w:sz w:val="18"/>
          <w:szCs w:val="18"/>
          <w:color w:val="auto"/>
        </w:rPr>
        <w:t>. Except as provided below, owners of beneficial interests in Global Securities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entitled to receive individual Securities.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Individual Securities shall be issued to all owners of beneficial interests in a Global Security in exchange for such interests if:</w:t>
      </w:r>
    </w:p>
    <w:p>
      <w:pPr>
        <w:spacing w:after="0" w:line="35" w:lineRule="exact"/>
        <w:rPr>
          <w:sz w:val="20"/>
          <w:szCs w:val="20"/>
          <w:color w:val="auto"/>
        </w:rPr>
      </w:pPr>
    </w:p>
    <w:p>
      <w:pPr>
        <w:ind w:left="660" w:hanging="4"/>
        <w:spacing w:after="0" w:line="273" w:lineRule="auto"/>
        <w:tabs>
          <w:tab w:leader="none" w:pos="9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3.03(g)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60" w:firstLine="648"/>
        <w:spacing w:after="0" w:line="257" w:lineRule="auto"/>
        <w:rPr>
          <w:sz w:val="20"/>
          <w:szCs w:val="20"/>
          <w:color w:val="auto"/>
        </w:rPr>
      </w:pPr>
      <w:r>
        <w:rPr>
          <w:rFonts w:ascii="Arial" w:cs="Arial" w:eastAsia="Arial" w:hAnsi="Arial"/>
          <w:sz w:val="18"/>
          <w:szCs w:val="18"/>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shall authenticate and deliver to each beneficial owner identified by the Depositary in exchange for its beneficial interest in such Global Security, an equal aggregate principal amount of individual Securities of authorized denominations.</w:t>
      </w:r>
    </w:p>
    <w:p>
      <w:pPr>
        <w:spacing w:after="0" w:line="188" w:lineRule="exact"/>
        <w:rPr>
          <w:sz w:val="20"/>
          <w:szCs w:val="20"/>
          <w:color w:val="auto"/>
        </w:rPr>
      </w:pPr>
    </w:p>
    <w:p>
      <w:pPr>
        <w:ind w:left="660" w:right="140" w:firstLine="645"/>
        <w:spacing w:after="0" w:line="257" w:lineRule="auto"/>
        <w:tabs>
          <w:tab w:leader="none" w:pos="19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owner of a beneficial interest in a Global Security shall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188" w:lineRule="exact"/>
        <w:rPr>
          <w:rFonts w:ascii="Arial" w:cs="Arial" w:eastAsia="Arial" w:hAnsi="Arial"/>
          <w:sz w:val="18"/>
          <w:szCs w:val="18"/>
          <w:color w:val="auto"/>
        </w:rPr>
      </w:pPr>
    </w:p>
    <w:p>
      <w:pPr>
        <w:ind w:left="1300" w:right="40" w:firstLine="653"/>
        <w:spacing w:after="0" w:line="277" w:lineRule="auto"/>
        <w:tabs>
          <w:tab w:leader="none" w:pos="261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Security Custodian and Registrar shall notify the Company and the Trustee of such instructions, identifying the owner and amount of such beneficial interest in such Global Security;</w:t>
      </w:r>
    </w:p>
    <w:p>
      <w:pPr>
        <w:spacing w:after="0" w:line="170" w:lineRule="exact"/>
        <w:rPr>
          <w:rFonts w:ascii="Arial" w:cs="Arial" w:eastAsia="Arial" w:hAnsi="Arial"/>
          <w:sz w:val="18"/>
          <w:szCs w:val="18"/>
          <w:color w:val="auto"/>
        </w:rPr>
      </w:pPr>
    </w:p>
    <w:p>
      <w:pPr>
        <w:ind w:left="1300" w:right="40" w:firstLine="653"/>
        <w:spacing w:after="0" w:line="264" w:lineRule="auto"/>
        <w:tabs>
          <w:tab w:leader="none" w:pos="26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81" w:lineRule="exact"/>
        <w:rPr>
          <w:rFonts w:ascii="Arial" w:cs="Arial" w:eastAsia="Arial" w:hAnsi="Arial"/>
          <w:sz w:val="18"/>
          <w:szCs w:val="18"/>
          <w:color w:val="auto"/>
        </w:rPr>
      </w:pPr>
    </w:p>
    <w:p>
      <w:pPr>
        <w:ind w:left="1300" w:right="40" w:firstLine="653"/>
        <w:spacing w:after="0" w:line="255" w:lineRule="auto"/>
        <w:tabs>
          <w:tab w:leader="none" w:pos="26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the right of any beneficial Holder of Securities to pursue such remedy with respect to the portion of the Global Security that represents such beneficial Holder’s Securities as if such individual Securities had been issued.</w:t>
      </w:r>
    </w:p>
    <w:p>
      <w:pPr>
        <w:spacing w:after="0" w:line="193" w:lineRule="exact"/>
        <w:rPr>
          <w:rFonts w:ascii="Arial" w:cs="Arial" w:eastAsia="Arial" w:hAnsi="Arial"/>
          <w:sz w:val="18"/>
          <w:szCs w:val="18"/>
          <w:color w:val="auto"/>
        </w:rPr>
      </w:pPr>
    </w:p>
    <w:p>
      <w:pPr>
        <w:ind w:left="660" w:right="320" w:firstLine="645"/>
        <w:spacing w:after="0" w:line="259" w:lineRule="auto"/>
        <w:tabs>
          <w:tab w:leader="none" w:pos="19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at the expense of the Company, without service charge,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left="1280" w:right="100" w:firstLine="653"/>
        <w:spacing w:after="0" w:line="264" w:lineRule="auto"/>
        <w:tabs>
          <w:tab w:leader="none" w:pos="2597"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each Person specified by such Depositary a new individual Security or Securities of the same series, of any authorized denomination as requested by such Person in aggregate principal amount equal to and in exchange for such Person’s beneficial interest in the Global Security; and</w:t>
      </w:r>
    </w:p>
    <w:p>
      <w:pPr>
        <w:spacing w:after="0" w:line="181" w:lineRule="exact"/>
        <w:rPr>
          <w:rFonts w:ascii="Arial" w:cs="Arial" w:eastAsia="Arial" w:hAnsi="Arial"/>
          <w:sz w:val="18"/>
          <w:szCs w:val="18"/>
          <w:color w:val="auto"/>
        </w:rPr>
      </w:pPr>
    </w:p>
    <w:p>
      <w:pPr>
        <w:ind w:left="1280" w:right="100" w:firstLine="653"/>
        <w:spacing w:after="0" w:line="308" w:lineRule="auto"/>
        <w:tabs>
          <w:tab w:leader="none" w:pos="2587" w:val="left"/>
        </w:tabs>
        <w:numPr>
          <w:ilvl w:val="2"/>
          <w:numId w:val="72"/>
        </w:numPr>
        <w:rPr>
          <w:rFonts w:ascii="Arial" w:cs="Arial" w:eastAsia="Arial" w:hAnsi="Arial"/>
          <w:sz w:val="17"/>
          <w:szCs w:val="17"/>
          <w:color w:val="auto"/>
        </w:rPr>
      </w:pPr>
      <w:r>
        <w:rPr>
          <w:rFonts w:ascii="Arial" w:cs="Arial" w:eastAsia="Arial" w:hAnsi="Arial"/>
          <w:sz w:val="17"/>
          <w:szCs w:val="17"/>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46" w:lineRule="exact"/>
        <w:rPr>
          <w:rFonts w:ascii="Arial" w:cs="Arial" w:eastAsia="Arial" w:hAnsi="Arial"/>
          <w:sz w:val="17"/>
          <w:szCs w:val="17"/>
          <w:color w:val="auto"/>
        </w:rPr>
      </w:pPr>
    </w:p>
    <w:p>
      <w:pPr>
        <w:ind w:left="640" w:right="120" w:firstLine="645"/>
        <w:spacing w:after="0" w:line="277" w:lineRule="auto"/>
        <w:tabs>
          <w:tab w:leader="none" w:pos="1953"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any exchange provided for in clauses (i) through (iii), the Company shall execute and the Trustee shall authenticate and deliver individual Securities in registered form in authorized denominations.</w:t>
      </w:r>
    </w:p>
    <w:p>
      <w:pPr>
        <w:spacing w:after="0" w:line="170" w:lineRule="exact"/>
        <w:rPr>
          <w:rFonts w:ascii="Arial" w:cs="Arial" w:eastAsia="Arial" w:hAnsi="Arial"/>
          <w:sz w:val="18"/>
          <w:szCs w:val="18"/>
          <w:color w:val="auto"/>
        </w:rPr>
      </w:pPr>
    </w:p>
    <w:p>
      <w:pPr>
        <w:ind w:left="640" w:right="140" w:firstLine="645"/>
        <w:spacing w:after="0" w:line="302" w:lineRule="auto"/>
        <w:tabs>
          <w:tab w:leader="none" w:pos="1944" w:val="left"/>
        </w:tabs>
        <w:numPr>
          <w:ilvl w:val="1"/>
          <w:numId w:val="73"/>
        </w:numPr>
        <w:rPr>
          <w:rFonts w:ascii="Arial" w:cs="Arial" w:eastAsia="Arial" w:hAnsi="Arial"/>
          <w:sz w:val="16"/>
          <w:szCs w:val="16"/>
          <w:color w:val="auto"/>
        </w:rPr>
      </w:pPr>
      <w:r>
        <w:rPr>
          <w:rFonts w:ascii="Arial" w:cs="Arial" w:eastAsia="Arial" w:hAnsi="Arial"/>
          <w:sz w:val="16"/>
          <w:szCs w:val="16"/>
          <w:color w:val="auto"/>
        </w:rPr>
        <w:t>Upon the exchange in full of a Global Security for individual Securities, such Global Security shall be cancelled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54" w:lineRule="exact"/>
        <w:rPr>
          <w:rFonts w:ascii="Arial" w:cs="Arial" w:eastAsia="Arial" w:hAnsi="Arial"/>
          <w:sz w:val="16"/>
          <w:szCs w:val="16"/>
          <w:color w:val="auto"/>
        </w:rPr>
      </w:pPr>
    </w:p>
    <w:p>
      <w:pPr>
        <w:ind w:left="-20" w:right="240" w:firstLine="656"/>
        <w:spacing w:after="0" w:line="342" w:lineRule="auto"/>
        <w:tabs>
          <w:tab w:leader="none" w:pos="1284"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23" w:lineRule="exact"/>
        <w:rPr>
          <w:rFonts w:ascii="Arial" w:cs="Arial" w:eastAsia="Arial" w:hAnsi="Arial"/>
          <w:sz w:val="16"/>
          <w:szCs w:val="16"/>
          <w:color w:val="auto"/>
        </w:rPr>
      </w:pPr>
    </w:p>
    <w:p>
      <w:pPr>
        <w:ind w:left="-20" w:right="240" w:firstLine="656"/>
        <w:spacing w:after="0" w:line="286" w:lineRule="auto"/>
        <w:tabs>
          <w:tab w:leader="none" w:pos="1287"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Every Security presented or surrendered for registration of transfer or exchange, or for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165" w:lineRule="exact"/>
        <w:rPr>
          <w:rFonts w:ascii="Arial" w:cs="Arial" w:eastAsia="Arial" w:hAnsi="Arial"/>
          <w:sz w:val="17"/>
          <w:szCs w:val="17"/>
          <w:color w:val="auto"/>
        </w:rPr>
      </w:pPr>
    </w:p>
    <w:p>
      <w:pPr>
        <w:ind w:left="-20" w:right="80" w:firstLine="656"/>
        <w:spacing w:after="0" w:line="259" w:lineRule="auto"/>
        <w:tabs>
          <w:tab w:leader="none" w:pos="12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service charge shall be made for any registration of transfer or exchange of Securities. The Company and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2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not be required to (i) register, transfer or exchange Securities of any series during a period beginning at the opening of business 15 calendar days before the day of the transmission of a notice of redemption of Securities of such series selected for redemption under Section 4.03 and ending at the close of business on the day of such transmission, or (ii) register, transfer or exchange any Security so selected for redemption in whole or in part, except the unredeemed portion of any Security being redeemed in part.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71" w:name="page72"/>
    <w:bookmarkEnd w:id="71"/>
    <w:p>
      <w:pPr>
        <w:ind w:right="20" w:firstLine="656"/>
        <w:spacing w:after="0" w:line="302" w:lineRule="auto"/>
        <w:tabs>
          <w:tab w:leader="none" w:pos="13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case a successor Company (“</w:t>
      </w:r>
      <w:r>
        <w:rPr>
          <w:rFonts w:ascii="Arial" w:cs="Arial" w:eastAsia="Arial" w:hAnsi="Arial"/>
          <w:sz w:val="17"/>
          <w:szCs w:val="17"/>
          <w:u w:val="single" w:color="auto"/>
          <w:color w:val="auto"/>
        </w:rPr>
        <w:t>Successor Company</w:t>
      </w:r>
      <w:r>
        <w:rPr>
          <w:rFonts w:ascii="Arial" w:cs="Arial" w:eastAsia="Arial" w:hAnsi="Arial"/>
          <w:sz w:val="17"/>
          <w:szCs w:val="17"/>
          <w:color w:val="auto"/>
        </w:rPr>
        <w:t>”) has executed an indenture supplemental hereto with the Trustee pursuant to</w:t>
      </w:r>
    </w:p>
    <w:p>
      <w:pPr>
        <w:spacing w:after="0" w:line="3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Article XIV,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Company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181" w:lineRule="exact"/>
        <w:rPr>
          <w:sz w:val="20"/>
          <w:szCs w:val="20"/>
          <w:color w:val="auto"/>
        </w:rPr>
      </w:pPr>
    </w:p>
    <w:p>
      <w:pPr>
        <w:ind w:firstLine="656"/>
        <w:spacing w:after="0" w:line="342" w:lineRule="auto"/>
        <w:tabs>
          <w:tab w:leader="none" w:pos="1304"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laws.</w:t>
      </w:r>
    </w:p>
    <w:p>
      <w:pPr>
        <w:spacing w:after="0" w:line="123" w:lineRule="exact"/>
        <w:rPr>
          <w:rFonts w:ascii="Arial" w:cs="Arial" w:eastAsia="Arial" w:hAnsi="Arial"/>
          <w:sz w:val="16"/>
          <w:szCs w:val="16"/>
          <w:color w:val="auto"/>
        </w:rPr>
      </w:pPr>
    </w:p>
    <w:p>
      <w:pPr>
        <w:ind w:right="100" w:firstLine="656"/>
        <w:spacing w:after="0" w:line="259"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Neither the Trustee nor any agent of the Trustee shall have any responsibility for any actions taken or not taken by the Depositary.</w:t>
      </w:r>
    </w:p>
    <w:p>
      <w:pPr>
        <w:spacing w:after="0" w:line="2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(a) 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and neither gain nor loss in interest shall result from such exchange or substitution.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560" w:firstLine="656"/>
        <w:spacing w:after="0" w:line="277" w:lineRule="auto"/>
        <w:tabs>
          <w:tab w:leader="none" w:pos="13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70" w:lineRule="exact"/>
        <w:rPr>
          <w:rFonts w:ascii="Arial" w:cs="Arial" w:eastAsia="Arial" w:hAnsi="Arial"/>
          <w:sz w:val="18"/>
          <w:szCs w:val="18"/>
          <w:color w:val="auto"/>
        </w:rPr>
      </w:pPr>
    </w:p>
    <w:p>
      <w:pPr>
        <w:ind w:right="80" w:firstLine="656"/>
        <w:spacing w:after="0" w:line="264" w:lineRule="auto"/>
        <w:tabs>
          <w:tab w:leader="none" w:pos="1307"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the issuance of any new Security under this Section 3.07, the Company may require the payment of a sum sufficient to cover any tax or other governmental charge that may be imposed in respect thereto and any other expenses (including the fees and expenses of the Trustee) in connection therewith.</w:t>
      </w:r>
    </w:p>
    <w:p>
      <w:pPr>
        <w:spacing w:after="0" w:line="181" w:lineRule="exact"/>
        <w:rPr>
          <w:rFonts w:ascii="Arial" w:cs="Arial" w:eastAsia="Arial" w:hAnsi="Arial"/>
          <w:sz w:val="18"/>
          <w:szCs w:val="18"/>
          <w:color w:val="auto"/>
        </w:rPr>
      </w:pPr>
    </w:p>
    <w:p>
      <w:pPr>
        <w:ind w:right="420" w:firstLine="656"/>
        <w:spacing w:after="0" w:line="286" w:lineRule="auto"/>
        <w:tabs>
          <w:tab w:leader="none" w:pos="1304" w:val="left"/>
        </w:tabs>
        <w:numPr>
          <w:ilvl w:val="0"/>
          <w:numId w:val="77"/>
        </w:numPr>
        <w:rPr>
          <w:rFonts w:ascii="Arial" w:cs="Arial" w:eastAsia="Arial" w:hAnsi="Arial"/>
          <w:sz w:val="17"/>
          <w:szCs w:val="17"/>
          <w:color w:val="auto"/>
        </w:rPr>
      </w:pPr>
      <w:r>
        <w:rPr>
          <w:rFonts w:ascii="Arial" w:cs="Arial" w:eastAsia="Arial" w:hAnsi="Arial"/>
          <w:sz w:val="17"/>
          <w:szCs w:val="17"/>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5" w:lineRule="exact"/>
        <w:rPr>
          <w:rFonts w:ascii="Arial" w:cs="Arial" w:eastAsia="Arial" w:hAnsi="Arial"/>
          <w:sz w:val="17"/>
          <w:szCs w:val="17"/>
          <w:color w:val="auto"/>
        </w:rPr>
      </w:pPr>
    </w:p>
    <w:p>
      <w:pPr>
        <w:ind w:right="180" w:firstLine="656"/>
        <w:spacing w:after="0" w:line="277" w:lineRule="auto"/>
        <w:tabs>
          <w:tab w:leader="none" w:pos="130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provisions of this Section 3.07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(a) Interest on any Security which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78" w:lineRule="exact"/>
        <w:rPr>
          <w:sz w:val="20"/>
          <w:szCs w:val="20"/>
          <w:color w:val="auto"/>
        </w:rPr>
      </w:pPr>
    </w:p>
    <w:p>
      <w:pPr>
        <w:ind w:left="1320" w:hanging="664"/>
        <w:spacing w:after="0"/>
        <w:tabs>
          <w:tab w:leader="none" w:pos="1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interest on any Security that is payable, but is not punctually paid or duly provided for, on any Interest Payment Date (herein called</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3" w:name="page74"/>
    <w:bookmarkEnd w:id="73"/>
    <w:p>
      <w:pPr>
        <w:ind w:left="660" w:firstLine="645"/>
        <w:spacing w:after="0" w:line="286" w:lineRule="auto"/>
        <w:tabs>
          <w:tab w:leader="none" w:pos="19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w:t>
      </w:r>
      <w:r>
        <w:rPr>
          <w:rFonts w:ascii="Arial" w:cs="Arial" w:eastAsia="Arial" w:hAnsi="Arial"/>
          <w:sz w:val="16"/>
          <w:szCs w:val="16"/>
          <w:u w:val="single" w:color="auto"/>
          <w:color w:val="auto"/>
        </w:rPr>
        <w:t>Special Record Date</w:t>
      </w:r>
      <w:r>
        <w:rPr>
          <w:rFonts w:ascii="Arial" w:cs="Arial" w:eastAsia="Arial" w:hAnsi="Arial"/>
          <w:sz w:val="16"/>
          <w:szCs w:val="16"/>
          <w:color w:val="auto"/>
        </w:rPr>
        <w: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68" w:lineRule="exact"/>
        <w:rPr>
          <w:rFonts w:ascii="Arial" w:cs="Arial" w:eastAsia="Arial" w:hAnsi="Arial"/>
          <w:sz w:val="16"/>
          <w:szCs w:val="16"/>
          <w:color w:val="auto"/>
        </w:rPr>
      </w:pPr>
    </w:p>
    <w:p>
      <w:pPr>
        <w:ind w:left="660" w:right="80" w:firstLine="645"/>
        <w:spacing w:after="0" w:line="302" w:lineRule="auto"/>
        <w:tabs>
          <w:tab w:leader="none" w:pos="198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in any other lawful manner not inconsistent with the requirements of any securities exchange on which such Securities may be listed or of any automated quotation system on which any such Securities may be quoted, and upon such notice as may be required by such exchange or quotation system, as applicable, if, after notice given by the Company to the Trustee of the proposed payment pursuant to this clause, such manner of payment shall be deemed practicable by the Trustee.</w:t>
      </w:r>
    </w:p>
    <w:p>
      <w:pPr>
        <w:spacing w:after="0" w:line="154" w:lineRule="exact"/>
        <w:rPr>
          <w:sz w:val="20"/>
          <w:szCs w:val="20"/>
          <w:color w:val="auto"/>
        </w:rPr>
      </w:pPr>
    </w:p>
    <w:p>
      <w:pPr>
        <w:ind w:right="320" w:firstLine="656"/>
        <w:spacing w:after="0" w:line="264" w:lineRule="auto"/>
        <w:tabs>
          <w:tab w:leader="none" w:pos="13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the foregoing provisions in this Section 3.08, each Security delivered under this Indenture in exchange or substitution for, or upon registration of transfer of, any other Security shall carry all the rights to interest accrued and unpaid, and to accrue, which were carried by such other Security.</w:t>
      </w:r>
    </w:p>
    <w:p>
      <w:pPr>
        <w:spacing w:after="0" w:line="18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cancelled by it and, if surrendered to the Trustee, shall be promptly cancelled by it. The Company may at any time deliver to the Trustee for cancellation any Securities previously authenticated and delivered hereunder that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The Trustee shall dispose of all cancelled Securities held by it in accordance with its then customary procedures, unless otherwise directed by a Company Order,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right="20" w:firstLine="648"/>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pursuant to Section 3.01 for Securities of any series, interest on the Securities of each series shall be computed on the basis of a 360-day year of twelve 30-day months.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Currency of Payments in Respect of Securities</w:t>
      </w:r>
      <w:r>
        <w:rPr>
          <w:rFonts w:ascii="Arial" w:cs="Arial" w:eastAsia="Arial" w:hAnsi="Arial"/>
          <w:sz w:val="16"/>
          <w:szCs w:val="16"/>
          <w:color w:val="auto"/>
        </w:rPr>
        <w:t>. (a) The Company may provide pursuant to Section 3.01 for Securities of any series that (i) the obligation, if any, of the Company to pay the principal of, premium, if any, and interest on, the Securities of any series in a Foreign Currency or U.S. Dollars (the “</w:t>
      </w:r>
      <w:r>
        <w:rPr>
          <w:rFonts w:ascii="Arial" w:cs="Arial" w:eastAsia="Arial" w:hAnsi="Arial"/>
          <w:sz w:val="16"/>
          <w:szCs w:val="16"/>
          <w:u w:val="single" w:color="auto"/>
          <w:color w:val="auto"/>
        </w:rPr>
        <w:t>Designated Currency</w:t>
      </w:r>
      <w:r>
        <w:rPr>
          <w:rFonts w:ascii="Arial" w:cs="Arial" w:eastAsia="Arial" w:hAnsi="Arial"/>
          <w:sz w:val="16"/>
          <w:szCs w:val="16"/>
          <w:color w:val="auto"/>
        </w:rPr>
        <w:t>”) as may be specified pursuant to Section 3.01 is of the essence and agrees that, to the fullest extent possible under applicable law, judgments in respect of such Securities shall be given in the Designated Currency; (ii) the obligation of the Company to make payments in the Designated Currency of the principal of,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(iii) if the amount in the Designated Currency that may be so purchased for any reason falls short of the amount originally due, the Company shall pay such additional amounts as may be necessary to compensate for such shortfall; and (iv) any obligation of the Company not discharged by such payment shall be due as a separate and independent obligation and, until discharged as provided herein, shall continue in full force and effect. Notwithstanding the foregoing, unless otherwise specified pursuant to Section 3.01 for Securities of any series, payment of the principal of, premium, if any, and interest on, Securities of such series shall be made in U.S. Dollars.</w:t>
      </w:r>
    </w:p>
    <w:p>
      <w:pPr>
        <w:spacing w:after="0" w:line="175" w:lineRule="exact"/>
        <w:rPr>
          <w:sz w:val="20"/>
          <w:szCs w:val="20"/>
          <w:color w:val="auto"/>
        </w:rPr>
      </w:pPr>
    </w:p>
    <w:p>
      <w:pPr>
        <w:ind w:right="80" w:firstLine="656"/>
        <w:spacing w:after="0" w:line="255" w:lineRule="auto"/>
        <w:tabs>
          <w:tab w:leader="none" w:pos="13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principal of, premium, if any, or interest on any Security is payable in a Foreign Currency and such Currency is not available to the Company for making payment thereof due to the imposition of exchange controls or other circumstances beyond the control of the Company, the Company shall be entitled to satisfy its obligations to Holders of the Securities by making such payment in U.S. Dollars in an amount equivalent of the amount payable in such other Currency at the Exchange Rate as determined pursuant to clause (d) below. Notwithstanding any provisions to the contrary herein, any payment made under such circumstances in U.S. Dollars where the required payment is in a Currency other than U.S. Dollars shall not constitute an Event of Default under this Indenture.</w:t>
      </w:r>
    </w:p>
    <w:p>
      <w:pPr>
        <w:spacing w:after="0" w:line="193" w:lineRule="exact"/>
        <w:rPr>
          <w:rFonts w:ascii="Arial" w:cs="Arial" w:eastAsia="Arial" w:hAnsi="Arial"/>
          <w:sz w:val="18"/>
          <w:szCs w:val="18"/>
          <w:color w:val="auto"/>
        </w:rPr>
      </w:pPr>
    </w:p>
    <w:p>
      <w:pPr>
        <w:ind w:firstLine="656"/>
        <w:spacing w:after="0" w:line="255" w:lineRule="auto"/>
        <w:tabs>
          <w:tab w:leader="none" w:pos="13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premium, if any, and interest on, the Securities of all series in respect of which moneys are to be disbursed ratably, the principal of, premium, if any, and interest on, the Outstanding Securities denominated in a Foreign Currency shall be the amount in U.S. Dollars based upon the Exchange Rate as determined pursuant to clause (d) below (or as specified pursuant to Section 3.01, if applicable) for Securities of such series, as of the date for determining whether the Holders entitled to perform such action have performed it or as of the date of such decision or determination by the Trustee, as the case may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ind w:right="60" w:firstLine="656"/>
        <w:spacing w:after="0" w:line="253" w:lineRule="auto"/>
        <w:tabs>
          <w:tab w:leader="none" w:pos="13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decision or determination to be made regarding the Exchange Rate shall be made by the Company or an agent appointed by the Company (the Company, in such capacity, or such agent, the “</w:t>
      </w:r>
      <w:r>
        <w:rPr>
          <w:rFonts w:ascii="Arial" w:cs="Arial" w:eastAsia="Arial" w:hAnsi="Arial"/>
          <w:sz w:val="18"/>
          <w:szCs w:val="18"/>
          <w:u w:val="single" w:color="auto"/>
          <w:color w:val="auto"/>
        </w:rPr>
        <w:t>Currency Determination Agent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Unless otherwise specified pursuant to Section 3.01, “</w:t>
      </w:r>
      <w:r>
        <w:rPr>
          <w:rFonts w:ascii="Arial" w:cs="Arial" w:eastAsia="Arial" w:hAnsi="Arial"/>
          <w:sz w:val="18"/>
          <w:szCs w:val="18"/>
          <w:u w:val="single" w:color="auto"/>
          <w:color w:val="auto"/>
        </w:rPr>
        <w:t>Exchange Rate</w:t>
      </w:r>
      <w:r>
        <w:rPr>
          <w:rFonts w:ascii="Arial" w:cs="Arial" w:eastAsia="Arial" w:hAnsi="Arial"/>
          <w:sz w:val="18"/>
          <w:szCs w:val="18"/>
          <w:color w:val="auto"/>
        </w:rPr>
        <w:t>” shall mean, for any Currency, the noon buying rate in New York City for cable transfers for such Currency as the applicable Exchange Rate, as such rate is reported or otherwise made available by the Federal Reserve Bank of New York on the date of such payment, or, if such rate is not then available, on the basis of the most recently available rate. All decisions and determinations of such agent regarding the Exchange Rate shall, in the absence of manifest error, be conclusive for all purposes and irrevocably binding upon the Company, the Trustee and all Holders of the Securities.</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CUSIP Numbers</w:t>
      </w:r>
      <w:r>
        <w:rPr>
          <w:rFonts w:ascii="Arial" w:cs="Arial" w:eastAsia="Arial" w:hAnsi="Arial"/>
          <w:sz w:val="18"/>
          <w:szCs w:val="18"/>
          <w:color w:val="auto"/>
        </w:rPr>
        <w:t>. The Company in issuing any Securities may use CUSIP, ISIN or other similar numbers, if then generally in use, and thereafter with respect to such series, the Trustee may use such numbers in any notice of redemption or exchange, as a convenience to Holders,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in writing, of any change in the CUSIP, ISIN or other similar numbers.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REDEMPTION OF SECURITIES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Applicability of Right of Redemption</w:t>
      </w:r>
      <w:r>
        <w:rPr>
          <w:rFonts w:ascii="Arial" w:cs="Arial" w:eastAsia="Arial" w:hAnsi="Arial"/>
          <w:sz w:val="18"/>
          <w:szCs w:val="18"/>
          <w:color w:val="auto"/>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8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Selection of Securities to be Redeemed</w:t>
      </w:r>
      <w:r>
        <w:rPr>
          <w:rFonts w:ascii="Arial" w:cs="Arial" w:eastAsia="Arial" w:hAnsi="Arial"/>
          <w:sz w:val="17"/>
          <w:szCs w:val="17"/>
          <w:color w:val="auto"/>
        </w:rPr>
        <w:t xml:space="preserve">. (a) If the Company shall at any time elect to redeem all or any portion of the Securities of a series then Outstanding, it shall at least 15 calendar days (or such shorter period acceptable to the Trustee) prior to the date the notice of redemption is to be delivered, notify the Trustee of such Redemption Date and of the principal amount of Securities to be redeemed, and thereupon (in the case of a partial redemption) the Trustee shall select either pro rata, by lot or in such other manner as the Trustee shall deem appropriate (subject to the procedures of the Depositary) and which may provide for the selection for redemption of a portion of the principal amount of any Security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firstLine="656"/>
        <w:spacing w:after="0" w:line="259" w:lineRule="auto"/>
        <w:tabs>
          <w:tab w:leader="none" w:pos="13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xml:space="preserve">. (a) Notice of redemption shall be given by the Company or, at the Company’s request, by the Trustee in the name and at the expense of the Company, not less than 30 nor more than 60 calendar days prior to the Redemption Date, to the Holders of Securities of any series to be redeemed in whole or in part pursuant to this Article, in the manner provided in Section 16.04;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Trustee be provided with the draft notice at least 15 days prior to sending such notice of redemption. Any notice given in the manner herein provided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89" w:lineRule="exact"/>
        <w:rPr>
          <w:sz w:val="20"/>
          <w:szCs w:val="20"/>
          <w:color w:val="auto"/>
        </w:rPr>
      </w:pPr>
    </w:p>
    <w:p>
      <w:pPr>
        <w:ind w:left="1320" w:hanging="664"/>
        <w:spacing w:after="0"/>
        <w:tabs>
          <w:tab w:leader="none" w:pos="13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notices of redemption shall identify the Securities to be redeemed (including CUSIP, ISIN or other similar numbers, if available)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state:</w:t>
      </w:r>
    </w:p>
    <w:p>
      <w:pPr>
        <w:spacing w:after="0" w:line="210" w:lineRule="exact"/>
        <w:rPr>
          <w:rFonts w:ascii="Arial" w:cs="Arial" w:eastAsia="Arial" w:hAnsi="Arial"/>
          <w:sz w:val="16"/>
          <w:szCs w:val="16"/>
          <w:color w:val="auto"/>
        </w:rPr>
      </w:pPr>
    </w:p>
    <w:p>
      <w:pPr>
        <w:ind w:left="660" w:firstLine="645"/>
        <w:spacing w:after="0" w:line="342" w:lineRule="auto"/>
        <w:tabs>
          <w:tab w:leader="none" w:pos="1978"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such election by the Company to redeem Securities of such series pursuant to provisions contained in this Indenture or the terms of the Securities of such series in a Company Order, Officers’ Certificate or a supplemental indenture establishing such series, if such be the case;</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73"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170" w:lineRule="exact"/>
        <w:rPr>
          <w:rFonts w:ascii="Arial" w:cs="Arial" w:eastAsia="Arial" w:hAnsi="Arial"/>
          <w:sz w:val="18"/>
          <w:szCs w:val="18"/>
          <w:color w:val="auto"/>
        </w:rPr>
      </w:pPr>
    </w:p>
    <w:p>
      <w:pPr>
        <w:ind w:left="660" w:right="260" w:firstLine="645"/>
        <w:spacing w:after="0" w:line="277" w:lineRule="auto"/>
        <w:tabs>
          <w:tab w:leader="none" w:pos="1964"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that on the Redemption Date the Redemption Price shall become due and payable upon each such Security to be redeemed, and that, if applicable, interest thereon shall cease to accrue on and after said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Place or Places of Payment where such Securities are to be surrendered for payment of the Redemption Price; and</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applicable, that the redemption is for a sinking fund, if such is the case.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ind w:right="160" w:firstLine="648"/>
        <w:spacing w:after="0" w:line="279"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prior to 11:00 a.m., New York City time, one Business Day prior to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7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xml:space="preserve">. If notice of redemption has been given as above provided, any Securities so to be redeemed shall, on the Redemption Date, become due and payable at the Redemption Price and from and after such date (unless the Company shall default in the payment of the Redemption Price) such Securities shall cease to bear interest, and, except as provided in Section 12.07, such Securities shall cease from and after the Redemption Date to be entitled to any benefit or security under the Indenture, and the Holders thereof shall have no right in respect of such Securities except the right to receive the Redemption Price thereof and unpaid interest to the Redemption Date. Upon surrender of any such Security for redemption in accordance with said notice, such Security shall be paid by the Trustee or Paying Agent with the moneys deposited in accordance with Section 4.04 above at the Redemption Price (unless the Company shall Default in the payment of the Redemption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8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thereof shall, until paid or duly provided for, bear interest from the Redemption Date at the rate prescribed therefor in the Security.</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Any Security that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provided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right="20" w:firstLine="648"/>
        <w:spacing w:after="0" w:line="270"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Tax Redemption</w:t>
      </w:r>
      <w:r>
        <w:rPr>
          <w:rFonts w:ascii="Arial" w:cs="Arial" w:eastAsia="Arial" w:hAnsi="Arial"/>
          <w:sz w:val="17"/>
          <w:szCs w:val="17"/>
          <w:color w:val="auto"/>
        </w:rPr>
        <w:t>. (a) Each series of Securities may be redeemed at any time, at the option of the Company, in whole but not in part, upon notice as described below, at a redemption price equal to 100% of the principal amount thereof, together with accrued and unpaid interest, if any, to, but not including, the Redemption Date, if (i) as a result of any change in, or amendment to, the laws or regulations of the Relevant Jurisdiction (or, in the case of Additional Amounts payable by a successor Person to the Company, the applicable Successor Jurisdiction), or any change in the official application or official interpretation of such laws or regulations, which change or amendment becomes effective on or after the Issue Date (or, in the case of Additional Amounts payable by a successor Person to the Company, the date on which such successor Person to the Company became such pursuant to the applicable provisions of this Indenture) (a “</w:t>
      </w:r>
      <w:r>
        <w:rPr>
          <w:rFonts w:ascii="Arial" w:cs="Arial" w:eastAsia="Arial" w:hAnsi="Arial"/>
          <w:sz w:val="17"/>
          <w:szCs w:val="17"/>
          <w:u w:val="single" w:color="auto"/>
          <w:color w:val="auto"/>
        </w:rPr>
        <w:t>Tax Change</w:t>
      </w:r>
      <w:r>
        <w:rPr>
          <w:rFonts w:ascii="Arial" w:cs="Arial" w:eastAsia="Arial" w:hAnsi="Arial"/>
          <w:sz w:val="17"/>
          <w:szCs w:val="17"/>
          <w:color w:val="auto"/>
        </w:rPr>
        <w:t>”), the Company or any such successor Person to the Company is, or would be, obligated to pay Additional Amounts upon the next payment of principal, premium, if any, or interest in respect of such Securities and (ii) such obligation cannot be avoided by the Company or any such successor Person to the Company taking reasonable measures available to it, provided that changing the jurisdiction of the Company or such successor Person to Company is not a reasonable measure for purposes of this Section 4.07(a).</w:t>
      </w:r>
    </w:p>
    <w:p>
      <w:pPr>
        <w:spacing w:after="0" w:line="178" w:lineRule="exact"/>
        <w:rPr>
          <w:sz w:val="20"/>
          <w:szCs w:val="20"/>
          <w:color w:val="auto"/>
        </w:rPr>
      </w:pPr>
    </w:p>
    <w:p>
      <w:pPr>
        <w:ind w:right="40" w:firstLine="656"/>
        <w:spacing w:after="0" w:line="273" w:lineRule="auto"/>
        <w:tabs>
          <w:tab w:leader="none" w:pos="13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Prior to the giving of any notice of redemption of the Securities pursuant to Section 4.07(a), the Company or any such successor Person to the Company shall deliver to the Trustee (i) a notice of such redemption election, (ii) an opinion of an Independent Legal Counsel or an opinion of an Independent Tax Consultant to the effect that the Company or any such successor Person to the Company is, or would become, obligated to pay such Additional Amounts as the result of a Tax Change and (iii) an Officers’ Certificate from the Company or any such successor Person to the Company, stating that such amendment or change has occurred, describing the facts leading thereto and stating that such requirement cannot be avoided by the Company or any such successor Person to the Company taking reasonable measures available to it.</w:t>
      </w:r>
    </w:p>
    <w:p>
      <w:pPr>
        <w:spacing w:after="0" w:line="178" w:lineRule="exact"/>
        <w:rPr>
          <w:rFonts w:ascii="Arial" w:cs="Arial" w:eastAsia="Arial" w:hAnsi="Arial"/>
          <w:sz w:val="17"/>
          <w:szCs w:val="17"/>
          <w:color w:val="auto"/>
        </w:rPr>
      </w:pPr>
    </w:p>
    <w:p>
      <w:pPr>
        <w:ind w:right="20" w:firstLine="656"/>
        <w:spacing w:after="0" w:line="259" w:lineRule="auto"/>
        <w:tabs>
          <w:tab w:leader="none" w:pos="13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Any redemption of Securities pursuant to Section 4.07 shall be made (except as otherwise specified pursuant to Section 3.01 for Securities of any series) in accordance with this Article;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notice of redemption shall be given earlier than 90 days prior to the earliest date on which the Company or any such successor Person to the Company would be required to pay Additional Amounts if a payment in respect of such Securities was then due.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SINKING FUNDS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Applicability of Sinking Fund</w:t>
      </w:r>
      <w:r>
        <w:rPr>
          <w:rFonts w:ascii="Arial" w:cs="Arial" w:eastAsia="Arial" w:hAnsi="Arial"/>
          <w:sz w:val="18"/>
          <w:szCs w:val="18"/>
          <w:color w:val="auto"/>
        </w:rPr>
        <w:t xml:space="preserve">. (a) 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terms of a series of Securities shall conflict with any provision of this Article, the terms of such series shall govern.</w:t>
      </w:r>
    </w:p>
    <w:p>
      <w:pPr>
        <w:spacing w:after="0" w:line="187" w:lineRule="exact"/>
        <w:rPr>
          <w:sz w:val="20"/>
          <w:szCs w:val="20"/>
          <w:color w:val="auto"/>
        </w:rPr>
      </w:pPr>
    </w:p>
    <w:p>
      <w:pPr>
        <w:ind w:left="1320" w:hanging="664"/>
        <w:spacing w:after="0"/>
        <w:tabs>
          <w:tab w:leader="none" w:pos="1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minimum amount of any sinking fund payment provided for by the terms of Securities of any series is herein referred to as a</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and any payment in excess of such minimum amount provided for by the terms of Securities of any series is herein referred to as an “</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If provided for by the terms of Securities of any series, the cash amount of any Mandatory Sinking Fund Payment may be subject to reduction as provided in Section 5.02.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Mandatory Sinking Fund Obligation</w:t>
      </w:r>
      <w:r>
        <w:rPr>
          <w:rFonts w:ascii="Arial" w:cs="Arial" w:eastAsia="Arial" w:hAnsi="Arial"/>
          <w:sz w:val="16"/>
          <w:szCs w:val="16"/>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4.03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calendar days prior to the relevant sinking fund payment date a written notice signed on behalf of the Company by an Officer,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6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Optional Redemption at Sinking Fund Redemption Price</w:t>
      </w:r>
      <w:r>
        <w:rPr>
          <w:rFonts w:ascii="Arial" w:cs="Arial" w:eastAsia="Arial" w:hAnsi="Arial"/>
          <w:sz w:val="16"/>
          <w:szCs w:val="16"/>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is not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calendar days prior to the relevant sinking fund payment date a certificate signed by an Officer, stating that the Company shall exercise such optional right, and specifying the amount which the Company shall pay on or before the next succeeding sinking fund payment date. Such certificate shall also state that no Event of Default has occurred and is continuing.</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Application of Sinking Fund Payment</w:t>
      </w:r>
      <w:r>
        <w:rPr>
          <w:rFonts w:ascii="Arial" w:cs="Arial" w:eastAsia="Arial" w:hAnsi="Arial"/>
          <w:sz w:val="17"/>
          <w:szCs w:val="17"/>
          <w:color w:val="auto"/>
        </w:rPr>
        <w:t xml:space="preserve">. (a) If the sinking fund payment or payments made in funds pursuant to either Section 5.02 or 5.03 with respect to a particular series of Securities plus any unused balance of any preceding sinking fund payments made in funds with respect to such series shall exceed US$50,000 (or a lesser sum if the Company shall so request, or such equivalent sum for Securities denominated other than in U.S. Dollars), it shall be applied by the Trustee on the sinking fund payment date next following the date of such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date of such payment shall be a sinking fund payment date,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prepared by the Company,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ectPr>
          <w:pgSz w:w="11900" w:h="16838" w:orient="portrait"/>
          <w:cols w:equalWidth="0" w:num="1">
            <w:col w:w="11420"/>
          </w:cols>
          <w:pgMar w:left="240" w:top="341" w:right="239" w:bottom="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right="680" w:firstLine="656"/>
        <w:spacing w:after="0" w:line="308" w:lineRule="auto"/>
        <w:tabs>
          <w:tab w:leader="none" w:pos="13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On or prior to each sinking fund payment date, the Company shall pay to the Trustee a sum equal to all interest accrued to, but not including, the Redemption Date on Securities to be redeemed on such sinking fund payment date pursuant to this Section 5.04.</w:t>
      </w:r>
    </w:p>
    <w:p>
      <w:pPr>
        <w:spacing w:after="0" w:line="146" w:lineRule="exact"/>
        <w:rPr>
          <w:rFonts w:ascii="Arial" w:cs="Arial" w:eastAsia="Arial" w:hAnsi="Arial"/>
          <w:sz w:val="17"/>
          <w:szCs w:val="17"/>
          <w:color w:val="auto"/>
        </w:rPr>
      </w:pPr>
    </w:p>
    <w:p>
      <w:pPr>
        <w:ind w:right="60" w:firstLine="656"/>
        <w:spacing w:after="0" w:line="289" w:lineRule="auto"/>
        <w:tabs>
          <w:tab w:leader="none" w:pos="130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Trustee shall not apply any sinking fund moneys to redeem any securities of a series or deliver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above provided,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PARTICULAR COVENANTS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covenants and agrees as follows: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Payments of Principal, Premium and Interest</w:t>
      </w:r>
      <w:r>
        <w:rPr>
          <w:rFonts w:ascii="Arial" w:cs="Arial" w:eastAsia="Arial" w:hAnsi="Arial"/>
          <w:sz w:val="18"/>
          <w:szCs w:val="18"/>
          <w:color w:val="auto"/>
        </w:rPr>
        <w:t>. The Company, for the benefit of each series of Securities, shall duly and punctually pay or cause to be paid the principal of, premium, if any, and interest on, each series of Securities, at the dates and place and in the manner provided in the Securities and in this Indenture.</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Maintenance of Office or Agency; Paying Agent</w:t>
      </w:r>
      <w:r>
        <w:rPr>
          <w:rFonts w:ascii="Arial" w:cs="Arial" w:eastAsia="Arial" w:hAnsi="Arial"/>
          <w:sz w:val="16"/>
          <w:szCs w:val="16"/>
          <w:color w:val="auto"/>
        </w:rPr>
        <w:t>. (a) The Company shall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The Company hereby initially appoints the Trustee as Paying Agent to receive all presentations, surrenders, notices and demands. So long as the Trustee serves as Paying Agent, it will be entitled as Paying Agent to the same rights of compensation, reimbursement and indemnification under Section 11.01 and Section 11.02 as if it were Trustee.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1" w:name="page82"/>
    <w:bookmarkEnd w:id="81"/>
    <w:p>
      <w:pPr>
        <w:ind w:right="40" w:firstLine="656"/>
        <w:spacing w:after="0" w:line="291" w:lineRule="auto"/>
        <w:tabs>
          <w:tab w:leader="none" w:pos="13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obligations described in the preceding paragraph. The Company shall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 and shall inform the Trustee of the same.</w:t>
      </w:r>
    </w:p>
    <w:p>
      <w:pPr>
        <w:spacing w:after="0" w:line="16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To Hold Payment in Trust</w:t>
      </w:r>
      <w:r>
        <w:rPr>
          <w:rFonts w:ascii="Arial" w:cs="Arial" w:eastAsia="Arial" w:hAnsi="Arial"/>
          <w:sz w:val="16"/>
          <w:szCs w:val="16"/>
          <w:color w:val="auto"/>
        </w:rPr>
        <w:t>. (a) If the Company or an Affiliate thereof shall at any time act as Paying Agent with respect to any series of Securities, then, on or before the date on which the principal of, premium, if any, or interest on any of the Securities of that series by their terms or as a result of the calling thereof for redemption shall become payable, the Company or such Affiliate shall segregate and hold in trust for the benefit of the Holders of such Securities or the Trustee a sum sufficient to pay such principal, premium, if any, or interest which shall have so become payable until such sums shall be paid to such Holders or otherwise disposed of as herein provided, and shall notify the Trustee of its action or failure to act in that regard.</w:t>
      </w:r>
    </w:p>
    <w:p>
      <w:pPr>
        <w:spacing w:after="0" w:line="15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Upon any proceeding under the Bankruptcy Code or any applicable state bankruptcy laws with respect to the Company or any Affiliate thereof, if the Company or such Affiliate is then acting as Paying Agent, the Trustee shall promptly replace the Company or such Affiliate as Paying Agent.</w:t>
      </w:r>
    </w:p>
    <w:p>
      <w:pPr>
        <w:spacing w:after="0" w:line="147" w:lineRule="exact"/>
        <w:rPr>
          <w:sz w:val="20"/>
          <w:szCs w:val="20"/>
          <w:color w:val="auto"/>
        </w:rPr>
      </w:pPr>
    </w:p>
    <w:p>
      <w:pPr>
        <w:ind w:right="20" w:firstLine="656"/>
        <w:spacing w:after="0" w:line="273" w:lineRule="auto"/>
        <w:tabs>
          <w:tab w:leader="none" w:pos="1304"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Company shall appoint, and at the time have, a Paying Agent for the payment of the principal of, premium, if any, or interest on any series of Securities, then prior to 11:00 a.m., New York City time, one Business Day prior to the date on which the principal of, premium, if any, or interest on any of the Securities of that series shall become payable as above provided, whether by their terms or as a result of the calling thereof for redemption, the Company shall deposit with such Paying Agent a sum sufficient to pay such principal, premium, if any, or interest, such sum to be held in trust for the benefit of the Holders of such Securities or the Trustee, and (unless such Paying Agent is the Trustee), the Company or any other obligor of such Securities shall promptly notify the Trustee of its payment or failure to make such 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right="240" w:firstLine="656"/>
        <w:spacing w:after="0" w:line="342" w:lineRule="auto"/>
        <w:tabs>
          <w:tab w:leader="none" w:pos="130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Paying Agent shall be a Person other than the Trustee, the Company shall cause such Paying Agent to execute and deliver to the Trustee an instrument in which such Paying Agent shall agree with the Trustee, subject to the provisions of this Section 6.03, that such Paying Agent shall:</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comply with the provisions of the Trust Indenture Act applicable to it as Paying Agent;</w:t>
      </w:r>
    </w:p>
    <w:p>
      <w:pPr>
        <w:spacing w:after="0" w:line="225" w:lineRule="exact"/>
        <w:rPr>
          <w:rFonts w:ascii="Arial" w:cs="Arial" w:eastAsia="Arial" w:hAnsi="Arial"/>
          <w:sz w:val="18"/>
          <w:szCs w:val="18"/>
          <w:color w:val="auto"/>
        </w:rPr>
      </w:pPr>
    </w:p>
    <w:p>
      <w:pPr>
        <w:ind w:left="660" w:right="220" w:firstLine="645"/>
        <w:spacing w:after="0" w:line="342" w:lineRule="auto"/>
        <w:tabs>
          <w:tab w:leader="none" w:pos="1987" w:val="left"/>
        </w:tabs>
        <w:numPr>
          <w:ilvl w:val="1"/>
          <w:numId w:val="90"/>
        </w:numPr>
        <w:rPr>
          <w:rFonts w:ascii="Arial" w:cs="Arial" w:eastAsia="Arial" w:hAnsi="Arial"/>
          <w:sz w:val="16"/>
          <w:szCs w:val="16"/>
          <w:color w:val="auto"/>
        </w:rPr>
      </w:pPr>
      <w:r>
        <w:rPr>
          <w:rFonts w:ascii="Arial" w:cs="Arial" w:eastAsia="Arial" w:hAnsi="Arial"/>
          <w:sz w:val="16"/>
          <w:szCs w:val="16"/>
          <w:color w:val="auto"/>
        </w:rPr>
        <w:t>hold all moneys held by it for the payment of the principal of, premium, if any, or interest on the Securities of that series in trust for the benefit of the Holders of such Securities until such sums shall be paid to such Holders or otherwise disposed of as herein provided;</w:t>
      </w:r>
    </w:p>
    <w:p>
      <w:pPr>
        <w:spacing w:after="0" w:line="123" w:lineRule="exact"/>
        <w:rPr>
          <w:rFonts w:ascii="Arial" w:cs="Arial" w:eastAsia="Arial" w:hAnsi="Arial"/>
          <w:sz w:val="16"/>
          <w:szCs w:val="16"/>
          <w:color w:val="auto"/>
        </w:rPr>
      </w:pPr>
    </w:p>
    <w:p>
      <w:pPr>
        <w:ind w:left="660" w:right="160" w:firstLine="645"/>
        <w:spacing w:after="0" w:line="277" w:lineRule="auto"/>
        <w:tabs>
          <w:tab w:leader="none" w:pos="1997" w:val="left"/>
        </w:tabs>
        <w:numPr>
          <w:ilvl w:val="1"/>
          <w:numId w:val="90"/>
        </w:numPr>
        <w:rPr>
          <w:rFonts w:ascii="Arial" w:cs="Arial" w:eastAsia="Arial" w:hAnsi="Arial"/>
          <w:sz w:val="18"/>
          <w:szCs w:val="18"/>
          <w:color w:val="auto"/>
        </w:rPr>
      </w:pPr>
      <w:r>
        <w:rPr>
          <w:rFonts w:ascii="Arial" w:cs="Arial" w:eastAsia="Arial" w:hAnsi="Arial"/>
          <w:sz w:val="18"/>
          <w:szCs w:val="18"/>
          <w:color w:val="auto"/>
        </w:rPr>
        <w:t>give to the Trustee notice of any Default by the Company or any other obligor upon the Securities of that series in the making of any payment of the principal of, premium, if any, or interest on the Securities of that series;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73" w:val="left"/>
        </w:tabs>
        <w:numPr>
          <w:ilvl w:val="1"/>
          <w:numId w:val="90"/>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pay to the Trustee all sums so held in trust by such Paying Agent.</w:t>
      </w:r>
    </w:p>
    <w:p>
      <w:pPr>
        <w:spacing w:after="0" w:line="170" w:lineRule="exact"/>
        <w:rPr>
          <w:rFonts w:ascii="Arial" w:cs="Arial" w:eastAsia="Arial" w:hAnsi="Arial"/>
          <w:sz w:val="18"/>
          <w:szCs w:val="18"/>
          <w:color w:val="auto"/>
        </w:rPr>
      </w:pPr>
    </w:p>
    <w:p>
      <w:pPr>
        <w:ind w:firstLine="656"/>
        <w:spacing w:after="0" w:line="257" w:lineRule="auto"/>
        <w:tabs>
          <w:tab w:leader="none" w:pos="13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 and, upon such payment by a Paying Agent to the Trustee, such Paying Agent shall be released from all further liability with respect to such moneys.</w:t>
      </w:r>
    </w:p>
    <w:p>
      <w:pPr>
        <w:spacing w:after="0" w:line="188" w:lineRule="exact"/>
        <w:rPr>
          <w:rFonts w:ascii="Arial" w:cs="Arial" w:eastAsia="Arial" w:hAnsi="Arial"/>
          <w:sz w:val="18"/>
          <w:szCs w:val="18"/>
          <w:color w:val="auto"/>
        </w:rPr>
      </w:pPr>
    </w:p>
    <w:p>
      <w:pPr>
        <w:ind w:right="20" w:firstLine="656"/>
        <w:spacing w:after="0" w:line="270" w:lineRule="auto"/>
        <w:tabs>
          <w:tab w:leader="none" w:pos="1307"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premium, if any, or interest on any Security of any series and remaining unclaimed for two years after such principal,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calendar days from the date of such publication, any unclaimed balance of such money then remaining shall be repaid to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Merger, Consolidation and Sale of Assets</w:t>
      </w:r>
      <w:r>
        <w:rPr>
          <w:rFonts w:ascii="Arial" w:cs="Arial" w:eastAsia="Arial" w:hAnsi="Arial"/>
          <w:sz w:val="16"/>
          <w:szCs w:val="16"/>
          <w:color w:val="auto"/>
        </w:rPr>
        <w:t>. Except as otherwise provided as contemplated by Section 3.01 with respect to any series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3" w:name="page84"/>
    <w:bookmarkEnd w:id="83"/>
    <w:p>
      <w:pPr>
        <w:ind w:left="660" w:firstLine="645"/>
        <w:spacing w:after="0" w:line="277" w:lineRule="auto"/>
        <w:tabs>
          <w:tab w:leader="none" w:pos="19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not consolidate with or merge into any other Person in a transaction in which the Company is not the surviving entity, or convey, transfer or lease its properties and assets substantially as an entirety to, any Person, unless</w:t>
      </w:r>
    </w:p>
    <w:p>
      <w:pPr>
        <w:spacing w:after="0" w:line="170" w:lineRule="exact"/>
        <w:rPr>
          <w:rFonts w:ascii="Arial" w:cs="Arial" w:eastAsia="Arial" w:hAnsi="Arial"/>
          <w:sz w:val="18"/>
          <w:szCs w:val="18"/>
          <w:color w:val="auto"/>
        </w:rPr>
      </w:pPr>
    </w:p>
    <w:p>
      <w:pPr>
        <w:ind w:left="1300" w:right="20" w:firstLine="653"/>
        <w:spacing w:after="0" w:line="276" w:lineRule="auto"/>
        <w:tabs>
          <w:tab w:leader="none" w:pos="2618"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Person formed by such consolidation or into or with which the Company is merged or to whom the Company has conveyed, transferred or leased its properties and assets substantially as an entirety is a corporation, partnership, trust or other entity validly existing under the laws of the British Virgin Islands, the Cayman Islands or Hong Kong and such Person expressly assumes by an indenture supplemental to this Indenture all the obligations of the Company under this Indenture and the Securities, including the obligation to pay Additional Amounts with respect to any jurisdiction in which it is organized or resident for tax purposes;</w:t>
      </w:r>
    </w:p>
    <w:p>
      <w:pPr>
        <w:spacing w:after="0" w:line="172" w:lineRule="exact"/>
        <w:rPr>
          <w:rFonts w:ascii="Arial" w:cs="Arial" w:eastAsia="Arial" w:hAnsi="Arial"/>
          <w:sz w:val="17"/>
          <w:szCs w:val="17"/>
          <w:color w:val="auto"/>
        </w:rPr>
      </w:pPr>
    </w:p>
    <w:p>
      <w:pPr>
        <w:ind w:left="1300" w:right="140" w:firstLine="653"/>
        <w:spacing w:after="0" w:line="277" w:lineRule="auto"/>
        <w:tabs>
          <w:tab w:leader="none" w:pos="2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left="1300" w:right="80" w:firstLine="653"/>
        <w:spacing w:after="0" w:line="312" w:lineRule="auto"/>
        <w:tabs>
          <w:tab w:leader="none" w:pos="2637"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Company, or the surviving entity, has delivered to the Trustee an Officers’ Certificate and an opinion of Independent Legal Counsel, each stating that such consolidation, merger, conveyance, transfer or lease and such supplemental indenture comply with this Indenture and that all conditions precedent therein provided for relating to such transaction have been complied with.</w:t>
      </w:r>
    </w:p>
    <w:p>
      <w:pPr>
        <w:spacing w:after="0" w:line="146" w:lineRule="exact"/>
        <w:rPr>
          <w:rFonts w:ascii="Arial" w:cs="Arial" w:eastAsia="Arial" w:hAnsi="Arial"/>
          <w:sz w:val="16"/>
          <w:szCs w:val="16"/>
          <w:color w:val="auto"/>
        </w:rPr>
      </w:pPr>
    </w:p>
    <w:p>
      <w:pPr>
        <w:ind w:left="660" w:right="20" w:firstLine="645"/>
        <w:spacing w:after="0" w:line="287" w:lineRule="auto"/>
        <w:tabs>
          <w:tab w:leader="none" w:pos="1964" w:val="left"/>
        </w:tabs>
        <w:numPr>
          <w:ilvl w:val="0"/>
          <w:numId w:val="91"/>
        </w:numPr>
        <w:rPr>
          <w:rFonts w:ascii="Arial" w:cs="Arial" w:eastAsia="Arial" w:hAnsi="Arial"/>
          <w:sz w:val="16"/>
          <w:szCs w:val="16"/>
          <w:color w:val="auto"/>
        </w:rPr>
      </w:pPr>
      <w:r>
        <w:rPr>
          <w:rFonts w:ascii="Arial" w:cs="Arial" w:eastAsia="Arial" w:hAnsi="Arial"/>
          <w:sz w:val="16"/>
          <w:szCs w:val="16"/>
          <w:color w:val="auto"/>
        </w:rPr>
        <w:t>Upon any consolidation with or merger into any other entity, or any sale other than for cash, or any conveyance or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successor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of directors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Additional Amounts</w:t>
      </w:r>
      <w:r>
        <w:rPr>
          <w:rFonts w:ascii="Arial" w:cs="Arial" w:eastAsia="Arial" w:hAnsi="Arial"/>
          <w:sz w:val="17"/>
          <w:szCs w:val="17"/>
          <w:color w:val="auto"/>
        </w:rPr>
        <w:t>. (a) All payments of principal, premium, if any, and interest made by the Company in respect of any Security shall be made without withholding or deduction for, or on account of, any present or future taxes, duties, assessments or governmental charges of whatever nature (including any penalties and interest related thereto) (“</w:t>
      </w:r>
      <w:r>
        <w:rPr>
          <w:rFonts w:ascii="Arial" w:cs="Arial" w:eastAsia="Arial" w:hAnsi="Arial"/>
          <w:sz w:val="17"/>
          <w:szCs w:val="17"/>
          <w:u w:val="single" w:color="auto"/>
          <w:color w:val="auto"/>
        </w:rPr>
        <w:t>Taxes</w:t>
      </w:r>
      <w:r>
        <w:rPr>
          <w:rFonts w:ascii="Arial" w:cs="Arial" w:eastAsia="Arial" w:hAnsi="Arial"/>
          <w:sz w:val="17"/>
          <w:szCs w:val="17"/>
          <w:color w:val="auto"/>
        </w:rPr>
        <w:t>”) imposed or levied by or within the Cayman Islands, Hong Kong, the PRC or any jurisdiction where the Company is organized or otherwise considered by a taxing authority to be a resident for tax purposes or through which a payment in respect of a Security is made (in each case, including any political subdivision or any authority therein or thereof having power to tax) (each, a “</w:t>
      </w:r>
      <w:r>
        <w:rPr>
          <w:rFonts w:ascii="Arial" w:cs="Arial" w:eastAsia="Arial" w:hAnsi="Arial"/>
          <w:sz w:val="17"/>
          <w:szCs w:val="17"/>
          <w:u w:val="single" w:color="auto"/>
          <w:color w:val="auto"/>
        </w:rPr>
        <w:t>Relevant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Jurisdiction</w:t>
      </w:r>
      <w:r>
        <w:rPr>
          <w:rFonts w:ascii="Arial" w:cs="Arial" w:eastAsia="Arial" w:hAnsi="Arial"/>
          <w:sz w:val="17"/>
          <w:szCs w:val="17"/>
          <w:color w:val="auto"/>
        </w:rPr>
        <w:t>”), unless such withholding or deduction of such Taxes is required by law. If the Company is required to make such withholding or deduction, the Company shall pay such additional amounts (“</w:t>
      </w:r>
      <w:r>
        <w:rPr>
          <w:rFonts w:ascii="Arial" w:cs="Arial" w:eastAsia="Arial" w:hAnsi="Arial"/>
          <w:sz w:val="17"/>
          <w:szCs w:val="17"/>
          <w:u w:val="single" w:color="auto"/>
          <w:color w:val="auto"/>
        </w:rPr>
        <w:t>Additional Amounts</w:t>
      </w:r>
      <w:r>
        <w:rPr>
          <w:rFonts w:ascii="Arial" w:cs="Arial" w:eastAsia="Arial" w:hAnsi="Arial"/>
          <w:sz w:val="17"/>
          <w:szCs w:val="17"/>
          <w:color w:val="auto"/>
        </w:rPr>
        <w:t>”) as will result in receipt by each Holder or beneficial owner of Securities of such amounts as would have been received by such Holder or beneficial owner had no such withholding or deduction of such Taxes been required, except that no such Additional Amounts shall be payable: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4" w:name="page85"/>
    <w:bookmarkEnd w:id="84"/>
    <w:p>
      <w:pPr>
        <w:ind w:left="-540" w:right="340" w:firstLine="645"/>
        <w:spacing w:after="0" w:line="297" w:lineRule="auto"/>
        <w:tabs>
          <w:tab w:leader="none" w:pos="778"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respect of any such Taxes that would not have been imposed, deducted or withheld but for the existence of any connection (whether present or former) between the Holder or beneficial owner of a Security and the Relevant Jurisdiction other than merely holding such Security or receiving principal, premium, if any, or interest, or enforcing its rights, in respect thereof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spacing w:after="0" w:line="158" w:lineRule="exact"/>
        <w:rPr>
          <w:rFonts w:ascii="Arial" w:cs="Arial" w:eastAsia="Arial" w:hAnsi="Arial"/>
          <w:sz w:val="16"/>
          <w:szCs w:val="16"/>
          <w:color w:val="auto"/>
        </w:rPr>
      </w:pPr>
    </w:p>
    <w:p>
      <w:pPr>
        <w:ind w:left="-540" w:right="20" w:firstLine="645"/>
        <w:spacing w:after="0" w:line="259" w:lineRule="auto"/>
        <w:tabs>
          <w:tab w:leader="none" w:pos="7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respect of any Security presented for payment (where presentation is required) more than 30 days after the relevant date, except to the extent that the Holder thereof would have been entitled to such Additional Amounts on presenting the same for payment on the last day of such 30-day period. For this purpose, the “</w:t>
      </w:r>
      <w:r>
        <w:rPr>
          <w:rFonts w:ascii="Arial" w:cs="Arial" w:eastAsia="Arial" w:hAnsi="Arial"/>
          <w:sz w:val="18"/>
          <w:szCs w:val="18"/>
          <w:u w:val="single" w:color="auto"/>
          <w:color w:val="auto"/>
        </w:rPr>
        <w:t>relevant date</w:t>
      </w:r>
      <w:r>
        <w:rPr>
          <w:rFonts w:ascii="Arial" w:cs="Arial" w:eastAsia="Arial" w:hAnsi="Arial"/>
          <w:sz w:val="18"/>
          <w:szCs w:val="18"/>
          <w:color w:val="auto"/>
        </w:rPr>
        <w:t>” in relation to any Security means the later of (a) the due date for such payment or (b) the date such payment was made or duly provided for;</w:t>
      </w:r>
    </w:p>
    <w:p>
      <w:pPr>
        <w:spacing w:after="0" w:line="186" w:lineRule="exact"/>
        <w:rPr>
          <w:rFonts w:ascii="Arial" w:cs="Arial" w:eastAsia="Arial" w:hAnsi="Arial"/>
          <w:sz w:val="18"/>
          <w:szCs w:val="18"/>
          <w:color w:val="auto"/>
        </w:rPr>
      </w:pPr>
    </w:p>
    <w:p>
      <w:pPr>
        <w:ind w:left="-540" w:firstLine="645"/>
        <w:spacing w:after="0" w:line="276" w:lineRule="auto"/>
        <w:tabs>
          <w:tab w:leader="none" w:pos="797"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respect of any Taxes that would not have been imposed, deducted or withheld but for a failure of the Holder or beneficial owner of a Security to comply with a timely request by the Company addressed to the Holder or beneficial owner to provide information concerning such Holder’s or beneficial owner’s nationality, residence, identity or connection with any Relevant Jurisdiction, if and to the extent that due and timely compliance with such request is required under the tax laws of such jurisdiction in order to reduce or eliminate any withholding or deduction as to which Additional Amounts would have otherwise been payable to such Holder or beneficial owner;</w:t>
      </w:r>
    </w:p>
    <w:p>
      <w:pPr>
        <w:spacing w:after="0" w:line="172" w:lineRule="exact"/>
        <w:rPr>
          <w:rFonts w:ascii="Arial" w:cs="Arial" w:eastAsia="Arial" w:hAnsi="Arial"/>
          <w:sz w:val="17"/>
          <w:szCs w:val="17"/>
          <w:color w:val="auto"/>
        </w:rPr>
      </w:pPr>
    </w:p>
    <w:p>
      <w:pPr>
        <w:ind w:left="-540" w:right="480" w:firstLine="645"/>
        <w:spacing w:after="0" w:line="277" w:lineRule="auto"/>
        <w:tabs>
          <w:tab w:leader="none" w:pos="7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respect of any Taxes imposed as a result of a Security being presented for payment (where presentation is required) in the Relevant Jurisdiction, unless such Security could not have been presented for payment elsewhere;</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respect of any estate, inheritance, gift, sale, transfer, personal property or similar Taxes;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85" w:name="page86"/>
    <w:bookmarkEnd w:id="85"/>
    <w:p>
      <w:pPr>
        <w:ind w:left="580" w:firstLine="645"/>
        <w:spacing w:after="0" w:line="259" w:lineRule="auto"/>
        <w:tabs>
          <w:tab w:leader="none" w:pos="189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any Holder of a Security that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6" w:lineRule="exact"/>
        <w:rPr>
          <w:rFonts w:ascii="Arial" w:cs="Arial" w:eastAsia="Arial" w:hAnsi="Arial"/>
          <w:sz w:val="18"/>
          <w:szCs w:val="18"/>
          <w:color w:val="auto"/>
        </w:rPr>
      </w:pPr>
    </w:p>
    <w:p>
      <w:pPr>
        <w:ind w:left="580" w:right="20" w:firstLine="645"/>
        <w:spacing w:after="0" w:line="286" w:lineRule="auto"/>
        <w:tabs>
          <w:tab w:leader="none" w:pos="1903" w:val="left"/>
        </w:tabs>
        <w:numPr>
          <w:ilvl w:val="1"/>
          <w:numId w:val="93"/>
        </w:numPr>
        <w:rPr>
          <w:rFonts w:ascii="Arial" w:cs="Arial" w:eastAsia="Arial" w:hAnsi="Arial"/>
          <w:sz w:val="17"/>
          <w:szCs w:val="17"/>
          <w:color w:val="auto"/>
        </w:rPr>
      </w:pPr>
      <w:r>
        <w:rPr>
          <w:rFonts w:ascii="Arial" w:cs="Arial" w:eastAsia="Arial" w:hAnsi="Arial"/>
          <w:sz w:val="17"/>
          <w:szCs w:val="17"/>
          <w:color w:val="auto"/>
        </w:rPr>
        <w:t>with respect to any withholding or deduction that is imposed in connection with Sections 1471-1474 of the U.S. Internal Revenue Code and U.S. Treasury regulations thereunder (“FATCA”), any intergovernmental agreement between the United States and any other jurisdiction implementing or relating to FATCA or any non-U.S. law, regulation or guidance enacted or issued with respect thereto;</w:t>
      </w:r>
    </w:p>
    <w:p>
      <w:pPr>
        <w:spacing w:after="0" w:line="165" w:lineRule="exact"/>
        <w:rPr>
          <w:rFonts w:ascii="Arial" w:cs="Arial" w:eastAsia="Arial" w:hAnsi="Arial"/>
          <w:sz w:val="17"/>
          <w:szCs w:val="17"/>
          <w:color w:val="auto"/>
        </w:rPr>
      </w:pPr>
    </w:p>
    <w:p>
      <w:pPr>
        <w:ind w:left="1900" w:hanging="675"/>
        <w:spacing w:after="0"/>
        <w:tabs>
          <w:tab w:leader="none" w:pos="1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 respect of any such Taxes payable otherwise than by deduction or withholding from payments under or with respect to any</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Security; or</w:t>
      </w:r>
    </w:p>
    <w:p>
      <w:pPr>
        <w:spacing w:after="0" w:line="210" w:lineRule="exact"/>
        <w:rPr>
          <w:rFonts w:ascii="Arial" w:cs="Arial" w:eastAsia="Arial" w:hAnsi="Arial"/>
          <w:sz w:val="16"/>
          <w:szCs w:val="16"/>
          <w:color w:val="auto"/>
        </w:rPr>
      </w:pPr>
    </w:p>
    <w:p>
      <w:pPr>
        <w:ind w:left="1880" w:hanging="655"/>
        <w:spacing w:after="0"/>
        <w:tabs>
          <w:tab w:leader="none" w:pos="18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respect of any combination of Taxes referred to in the preceding clauses (i) through (viii) above.</w:t>
      </w:r>
    </w:p>
    <w:p>
      <w:pPr>
        <w:spacing w:after="0" w:line="225" w:lineRule="exact"/>
        <w:rPr>
          <w:rFonts w:ascii="Arial" w:cs="Arial" w:eastAsia="Arial" w:hAnsi="Arial"/>
          <w:sz w:val="18"/>
          <w:szCs w:val="18"/>
          <w:color w:val="auto"/>
        </w:rPr>
      </w:pPr>
    </w:p>
    <w:p>
      <w:pPr>
        <w:ind w:left="-80" w:right="80" w:firstLine="656"/>
        <w:spacing w:after="0" w:line="302" w:lineRule="auto"/>
        <w:tabs>
          <w:tab w:leader="none" w:pos="1224"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any Taxes are deducted or withheld from payments of principal of, premium (if any) or interest on any Securities, the Company will furnish to the Trustee, within 30 days after the date the payment of such Taxes is due pursuant to applicable law, either certified copies of tax receipts evidencing such payment or, if such receipts are not obtainable, other evidence of payments reasonably satisfactory to the Trustee. Upon request, copies of those receipts or other evidence of payments, as the case may be, will be made available by the Trustee to the Holders or beneficial owners of the Securities.</w:t>
      </w:r>
    </w:p>
    <w:p>
      <w:pPr>
        <w:spacing w:after="0" w:line="154" w:lineRule="exact"/>
        <w:rPr>
          <w:rFonts w:ascii="Arial" w:cs="Arial" w:eastAsia="Arial" w:hAnsi="Arial"/>
          <w:sz w:val="16"/>
          <w:szCs w:val="16"/>
          <w:color w:val="auto"/>
        </w:rPr>
      </w:pPr>
    </w:p>
    <w:p>
      <w:pPr>
        <w:ind w:left="-80" w:right="100" w:firstLine="656"/>
        <w:spacing w:after="0" w:line="297" w:lineRule="auto"/>
        <w:tabs>
          <w:tab w:leader="none" w:pos="122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will pay any stamp, issue, registration, court, documentary or value added taxes, or any other excise or property taxes, charges or similar levies (including, in each case, interest and penalties) payable in respect of the creation, issue, offering, execution, delivery, registration, enforcement or making payments in respect of the Securities, or any documentation with respect thereto, excluding any such taxes, charges or similar levies imposed by any jurisdiction other than a Relevant Jurisdiction except those resulting from, or required to be paid in connection with, the enforcement of the Securities after the occurrence and during the continuance of an Event of Default with respect to the Securities.</w:t>
      </w:r>
    </w:p>
    <w:p>
      <w:pPr>
        <w:spacing w:after="0" w:line="158" w:lineRule="exact"/>
        <w:rPr>
          <w:rFonts w:ascii="Arial" w:cs="Arial" w:eastAsia="Arial" w:hAnsi="Arial"/>
          <w:sz w:val="16"/>
          <w:szCs w:val="16"/>
          <w:color w:val="auto"/>
        </w:rPr>
      </w:pPr>
    </w:p>
    <w:p>
      <w:pPr>
        <w:jc w:val="both"/>
        <w:ind w:left="-80" w:right="400" w:firstLine="656"/>
        <w:spacing w:after="0" w:line="264" w:lineRule="auto"/>
        <w:tabs>
          <w:tab w:leader="none" w:pos="12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Whenever in this Indenture there is mentioned, in any context, the payment of principal, premium, if any, or interest in respect of any Security, such mention shall be deemed to include the payment of Additional Amounts provided for in this Indenture, to the extent that, in such context, Additional Amounts are, were or would be payable in respect thereof pursuant to this Indenture.</w:t>
      </w:r>
    </w:p>
    <w:p>
      <w:pPr>
        <w:spacing w:after="0" w:line="181" w:lineRule="exact"/>
        <w:rPr>
          <w:rFonts w:ascii="Arial" w:cs="Arial" w:eastAsia="Arial" w:hAnsi="Arial"/>
          <w:sz w:val="18"/>
          <w:szCs w:val="18"/>
          <w:color w:val="auto"/>
        </w:rPr>
      </w:pPr>
    </w:p>
    <w:p>
      <w:pPr>
        <w:ind w:left="-80" w:right="300" w:firstLine="656"/>
        <w:spacing w:after="0" w:line="264" w:lineRule="auto"/>
        <w:tabs>
          <w:tab w:leader="none" w:pos="122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provisions of this Section 6.05 shall apply in the same manner with respect to the jurisdiction in which any successor Person to the Company is organized or resident for tax purposes or any political subdivision or any authority therein or thereof having the power to tax (a “</w:t>
      </w:r>
      <w:r>
        <w:rPr>
          <w:rFonts w:ascii="Arial" w:cs="Arial" w:eastAsia="Arial" w:hAnsi="Arial"/>
          <w:sz w:val="18"/>
          <w:szCs w:val="18"/>
          <w:u w:val="single" w:color="auto"/>
          <w:color w:val="auto"/>
        </w:rPr>
        <w:t>Successor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Jurisdiction</w:t>
      </w:r>
      <w:r>
        <w:rPr>
          <w:rFonts w:ascii="Arial" w:cs="Arial" w:eastAsia="Arial" w:hAnsi="Arial"/>
          <w:sz w:val="18"/>
          <w:szCs w:val="18"/>
          <w:color w:val="auto"/>
        </w:rPr>
        <w:t>”), substituting such Successor Jurisdiction for the Relevant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6" w:name="page87"/>
    <w:bookmarkEnd w:id="86"/>
    <w:p>
      <w:pPr>
        <w:ind w:right="60" w:firstLine="656"/>
        <w:spacing w:after="0" w:line="277" w:lineRule="auto"/>
        <w:tabs>
          <w:tab w:leader="none" w:pos="13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obligation of the Company to make payments of Additional Amounts under this Section 6.05 shall survive any termination, defeasance or discharge of this Indenture.</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Payment for Consent</w:t>
      </w:r>
      <w:r>
        <w:rPr>
          <w:rFonts w:ascii="Arial" w:cs="Arial" w:eastAsia="Arial" w:hAnsi="Arial"/>
          <w:sz w:val="16"/>
          <w:szCs w:val="16"/>
          <w:color w:val="auto"/>
        </w:rPr>
        <w:t>. The Company will not, and will not permit any of its Controlled Entities to, directly or indirectly, pay or cause to be paid any consideration to or for the benefit of any Holder for or as an inducement to any consent, waiver or amendment of any of the terms or provisions of this Indenture or any series of the Securities unless such consideration is offered to be paid and is paid to all Holders of such series of Securities as may be affected thereby that consent, waive or agree to amend in the time frame set forth in the solicitation documents relating to consent, waiver or amendment.</w:t>
      </w:r>
    </w:p>
    <w:p>
      <w:pPr>
        <w:spacing w:after="0" w:line="15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The Company shall furnish to the Trustee annually, within 120 days after the end of each fiscal year of the Company, a brief certificate from the principal executive officer, principal financial officer or principal accounting officer as to his or her knowledge of the Company’s compliance with all conditions and covenants under this Indenture (which compliance shall be determined without regard to any period of grace or requirement of notice provided under this Indenture), specifying if any Default has occurred and, in the event that any Default has occurred, specifying each such Default and the nature and status thereof of which such person may have knowledge.</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Conditional Waiver by Holders of Securities</w:t>
      </w:r>
      <w:r>
        <w:rPr>
          <w:rFonts w:ascii="Arial" w:cs="Arial" w:eastAsia="Arial" w:hAnsi="Arial"/>
          <w:sz w:val="17"/>
          <w:szCs w:val="17"/>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affected by such waiver and at the time Outstanding,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 The Company shall deliver to the Trustee promptly and in any event within 30 calendar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REMEDIES OF TRUSTEE AND SECURITYHOLDERS</w:t>
      </w: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Except where otherwise indicated by the context or where the term is otherwise defined for a specific purpose, the term “Event of Default” as used in this Indenture with respect to Securities of any series shall mean one of the following described events unless it is either inapplicable to a particular series or it is specifically deleted or modified in the manner contemplated in Section 3.01:</w:t>
      </w:r>
    </w:p>
    <w:p>
      <w:pPr>
        <w:spacing w:after="0" w:line="166" w:lineRule="exact"/>
        <w:rPr>
          <w:sz w:val="20"/>
          <w:szCs w:val="20"/>
          <w:color w:val="auto"/>
        </w:rPr>
      </w:pPr>
    </w:p>
    <w:p>
      <w:pPr>
        <w:ind w:left="1940" w:hanging="635"/>
        <w:spacing w:after="0"/>
        <w:tabs>
          <w:tab w:leader="none" w:pos="19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fails to pay interest on any debt securities of that series within 30 days after the due date for such payment;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fails to pay principal in respect of any debt securities of that series by the due date for such payment;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 our obligations under the “—Consolidation, Merger and Sale of Assets”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covenant;</w:t>
      </w:r>
    </w:p>
    <w:p>
      <w:pPr>
        <w:spacing w:after="0" w:line="210" w:lineRule="exact"/>
        <w:rPr>
          <w:rFonts w:ascii="Arial" w:cs="Arial" w:eastAsia="Arial" w:hAnsi="Arial"/>
          <w:sz w:val="16"/>
          <w:szCs w:val="16"/>
          <w:color w:val="auto"/>
        </w:rPr>
      </w:pPr>
    </w:p>
    <w:p>
      <w:pPr>
        <w:ind w:left="660" w:right="80" w:firstLine="645"/>
        <w:spacing w:after="0" w:line="312" w:lineRule="auto"/>
        <w:tabs>
          <w:tab w:leader="none" w:pos="196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defaults in our performance of or breach any other covenants or agreements contained in the indenture or under the debt securities of that series (other than a default specified in clause (a), (b) or (c) above) and such default or breach continues for 60 consecutive days after written notice to us from the trustee or the holders of at least 25% in aggregate principal amount of the debt securities of that series;</w:t>
      </w:r>
    </w:p>
    <w:p>
      <w:pPr>
        <w:spacing w:after="0" w:line="146" w:lineRule="exact"/>
        <w:rPr>
          <w:rFonts w:ascii="Arial" w:cs="Arial" w:eastAsia="Arial" w:hAnsi="Arial"/>
          <w:sz w:val="16"/>
          <w:szCs w:val="16"/>
          <w:color w:val="auto"/>
        </w:rPr>
      </w:pPr>
    </w:p>
    <w:p>
      <w:pPr>
        <w:ind w:left="660" w:firstLine="645"/>
        <w:spacing w:after="0" w:line="253" w:lineRule="auto"/>
        <w:tabs>
          <w:tab w:leader="none" w:pos="19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or any of our Principal Controlled Entities defaults in the payment of principal, interest or premium when due under any other instruments of indebtedness having an aggregate outstanding principal amount equal to or exceeding the greater of (x) US$50 million (or its equivalent in any other currency or currencies) and (y) 2.5% of our Total Equity in the aggregate of the Company and/or any subsidiary of the Company, whether such indebtedness now exists or shall hereafter be created, which default results (i) in such indebtedness becoming or being declared due and payable or (ii) from a failure to pay the principal of any such indebtedness when due and payable at its stated maturity, upon redemption, upon required purchase, upon declaration of acceleration or otherwise and, in each case, such default continues in effect for more than 30 days after the expiration of any grace period or extension of time for payment applicable thereto; provided that any such event of default shall be deemed cured and not continuing upon payment of such indebtedness, rescission of such declaration of acceleration or waiver or with consent of the lender;</w:t>
      </w:r>
    </w:p>
    <w:p>
      <w:pPr>
        <w:spacing w:after="0" w:line="197" w:lineRule="exact"/>
        <w:rPr>
          <w:rFonts w:ascii="Arial" w:cs="Arial" w:eastAsia="Arial" w:hAnsi="Arial"/>
          <w:sz w:val="18"/>
          <w:szCs w:val="18"/>
          <w:color w:val="auto"/>
        </w:rPr>
      </w:pPr>
    </w:p>
    <w:p>
      <w:pPr>
        <w:ind w:left="660" w:right="140" w:firstLine="645"/>
        <w:spacing w:after="0" w:line="255" w:lineRule="auto"/>
        <w:tabs>
          <w:tab w:leader="none" w:pos="1961"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one or more final judgments or orders for the payment of money are rendered against the Company or any of its Principal Controlled Entities and are not paid or discharged, and there is a period of 90 consecutive days following entry of the final judgment or order that causes the aggregate amount for all such final judgments or orders outstanding and not paid or discharged against all such Persons (net of any amounts that our insurance carriers have paid or agreed to pay with respect thereto under applicable policies) to exceed the greater of (x) US$50 million (or its equivalent in any other currency or currencies) and (y) 2.5% of our Total Equity, during which a stay of enforcement, by reason of a pending appeal or otherwise, is not in effect;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8" w:name="page89"/>
    <w:bookmarkEnd w:id="88"/>
    <w:p>
      <w:pPr>
        <w:ind w:left="660" w:right="20" w:firstLine="645"/>
        <w:spacing w:after="0" w:line="290" w:lineRule="auto"/>
        <w:tabs>
          <w:tab w:leader="none" w:pos="197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Company or any of its Principal Controlled Entities in an involuntary case or proceeding under any applicable bankruptcy, insolvency or other similar law or (b) a decree or order adjudging us or any of our Principal Controlled Entities bankrupt or insolvent, or approving as final and nonappealable a petition seeking reorganization, arrangement, adjustment, or composition of or in respect of the Company or any of its Principal Controlled Entities under any applicable bankruptcy, insolvency or other similar law, or appointing a custodian, receiver, liquidator, assignee, trustee, sequestrator, or other similar official of the Company or any of its Principal Controlled Entities or of any substantial part of their respective property, or ordering the winding up or liquidation of their respective affairs (or any similar relief granted under any foreign laws), and in any such case the continuance of any such decree or order for relief or any such other decree or order unstayed and in effect for a period of 90 consecutive calendar days;</w:t>
      </w:r>
    </w:p>
    <w:p>
      <w:pPr>
        <w:spacing w:after="0" w:line="166" w:lineRule="exact"/>
        <w:rPr>
          <w:rFonts w:ascii="Arial" w:cs="Arial" w:eastAsia="Arial" w:hAnsi="Arial"/>
          <w:sz w:val="16"/>
          <w:szCs w:val="16"/>
          <w:color w:val="auto"/>
        </w:rPr>
      </w:pPr>
    </w:p>
    <w:p>
      <w:pPr>
        <w:ind w:left="660" w:right="40" w:firstLine="645"/>
        <w:spacing w:after="0" w:line="286" w:lineRule="auto"/>
        <w:tabs>
          <w:tab w:leader="none" w:pos="196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commencement by the Company or any of its Principal Controlled Entities of a voluntary case or proceeding under any applicable state or foreign bankruptcy, insolvency or other similar law or of any other case or proceeding to be adjudicated bankrupt or insolvent, or the consent by the Company or any Principal Controlled Entity to the entry of a decree or order for relief in respect of us or any of its Principal Controlled Entities in an involuntary case or proceeding under any applicable bankruptcy, insolvency or other similar law or the commencement of any bankruptcy or insolvency case or proceeding against the Company or any Principal Controlled Entity, or the filing by the Company or any Principal Controlled Entity of a petition or answer or consent seeking reorganization or relief with respect to us or any of its Principal Controlled Entities under any applicable bankruptcy, insolvency or other similar law, or the consent by the Company or any Principal Controlled Entity to the filing of such petition or to the appointment of or taking possession by a custodian, receiver, liquidator, assignee, trustee, sequestrator, or other similar official of the Company or any of its Principal Controlled Entities or of any substantial part of their respective property pursuant to any such law, or the making by the Company or any of its Principal Controlled Entities of a general assignment for the benefit of creditors in respect of any indebtedness as a result of an inability to pay such indebtedness as it becomes due, or the admission by the Company or any of its Principal Controlled Entities in writing of the Company’s inability to pay the Company’s debts generally as they become due, or the taking of corporate action by the Company or any of its Principal Controlled Entities that resolves to commence any such action;</w:t>
      </w:r>
    </w:p>
    <w:p>
      <w:pPr>
        <w:spacing w:after="0" w:line="174" w:lineRule="exact"/>
        <w:rPr>
          <w:rFonts w:ascii="Arial" w:cs="Arial" w:eastAsia="Arial" w:hAnsi="Arial"/>
          <w:sz w:val="16"/>
          <w:szCs w:val="16"/>
          <w:color w:val="auto"/>
        </w:rPr>
      </w:pPr>
    </w:p>
    <w:p>
      <w:pPr>
        <w:ind w:left="660" w:right="200" w:firstLine="645"/>
        <w:spacing w:after="0" w:line="277" w:lineRule="auto"/>
        <w:tabs>
          <w:tab w:leader="none" w:pos="19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debt securities of that series or the indenture is or becomes or is claimed by us to be unenforceable, invalid or ceases to be in full force and effect otherwise than is permitted by the indenture;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event of default described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Default under Section 7.01(d) above will not constitute an Event of Default until the Trustee or the Holders of 25% or more in aggregate principal amount of the Securities of such series then Outstanding provide written notice to the Company of the Default and the Company does not cure such Default within the time specified in Section 7.01(d) above after receipt of such written notice. In the case of such written notice given to the Company by the Holders, the Company will provide a copy of such written notice to the Trustee.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Trustee shall not be deemed to have notice of any Default or Event of Default (other than a payment default) unless a written notice of any event which is in fact such a default is received by a Responsible Officer of the Trustee at the Corporate Trust Office of the Trustee, and such notice references the Notes and the Indenture.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Acceleration; Rescission and Annulment</w:t>
      </w:r>
      <w:r>
        <w:rPr>
          <w:rFonts w:ascii="Arial" w:cs="Arial" w:eastAsia="Arial" w:hAnsi="Arial"/>
          <w:sz w:val="16"/>
          <w:szCs w:val="16"/>
          <w:color w:val="auto"/>
        </w:rPr>
        <w:t>. (a) Except as otherwise provided as contemplated by Section 3.01 with respect to any series of Securities, if any one or more of the above-described Events of Default (other than an Event of Default specified in Section 7.01(g) or 7.01(h)) shall happen with respect to Securities of any series at the time Outstanding, then, and in each and every such case, during the continuance of any such Event of Default, the Trustee or the Holders of not less than 25% in aggregate principal amount of the Securities of such series then Outstanding may, and the Trustee upon written directions of holders of at least 25% in aggregate principal amount of the Securities of such Series outstanding shall (subject to being indemnified secured and/or pre-funded to its satisfaction), declare the principal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7.01(g) or 7.01(h) occurs and is continuing, then in every such case, the principal amount of all of the Securities of that series then Outstanding and all accrued and unpaid interest, if any, shall automatically, and without any declaration or any other action on the part of the Trustee or any Holder, become due and payable immediately. Upon payment of such amounts in the Currency in which such Securities are denominated (subject to Section 3.11 and except as otherwise provided pursuant to Section 3.01), all obligations of the Company in respect of the payment of principal of and interest on the Securities of such series shall terminate.</w:t>
      </w:r>
    </w:p>
    <w:p>
      <w:pPr>
        <w:spacing w:after="0" w:line="175" w:lineRule="exact"/>
        <w:rPr>
          <w:sz w:val="20"/>
          <w:szCs w:val="20"/>
          <w:color w:val="auto"/>
        </w:rPr>
      </w:pPr>
    </w:p>
    <w:p>
      <w:pPr>
        <w:ind w:right="200" w:firstLine="656"/>
        <w:spacing w:after="0" w:line="279" w:lineRule="auto"/>
        <w:tabs>
          <w:tab w:leader="none" w:pos="1304"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the event of a declaration of acceleration with respect to the Securities of any series because of an Event of Default specified in Section 7.01(e) above shall occur, the declaration of acceleration with respect to the Securities of such series shall be automatically annulled if the Default triggering such Event of Default pursuant to Section 7.01(e) above shall be remedied or cured by the Company or any of its Principal Controlled Entities or waived by the holders of the relevant indebtedness within 30 days after the declaration of acceleration with respect thereto and:</w:t>
      </w:r>
    </w:p>
    <w:p>
      <w:pPr>
        <w:spacing w:after="0" w:line="171" w:lineRule="exact"/>
        <w:rPr>
          <w:rFonts w:ascii="Arial" w:cs="Arial" w:eastAsia="Arial" w:hAnsi="Arial"/>
          <w:sz w:val="17"/>
          <w:szCs w:val="17"/>
          <w:color w:val="auto"/>
        </w:rPr>
      </w:pPr>
    </w:p>
    <w:p>
      <w:pPr>
        <w:ind w:left="660" w:right="80" w:firstLine="645"/>
        <w:spacing w:after="0" w:line="277" w:lineRule="auto"/>
        <w:tabs>
          <w:tab w:leader="none" w:pos="197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annulment of the acceleration with respect to the Securities of such series would not conflict with any judgment or decree of a court of competent jurisdiction;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9" w:name="page90"/>
    <w:bookmarkEnd w:id="89"/>
    <w:p>
      <w:pPr>
        <w:ind w:left="660" w:right="100" w:firstLine="645"/>
        <w:spacing w:after="0" w:line="342" w:lineRule="auto"/>
        <w:tabs>
          <w:tab w:leader="none" w:pos="1987"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Events of Default with respect to the Securities of such series, other than the non-payment of principal, premium, if any, or interest on the Securities of such series that became due solely because of such acceleration, have been cured or waived as provided in Section 7.06.</w:t>
      </w:r>
    </w:p>
    <w:p>
      <w:pPr>
        <w:spacing w:after="0" w:line="123" w:lineRule="exact"/>
        <w:rPr>
          <w:rFonts w:ascii="Arial" w:cs="Arial" w:eastAsia="Arial" w:hAnsi="Arial"/>
          <w:sz w:val="16"/>
          <w:szCs w:val="16"/>
          <w:color w:val="auto"/>
        </w:rPr>
      </w:pPr>
    </w:p>
    <w:p>
      <w:pPr>
        <w:ind w:right="200" w:firstLine="656"/>
        <w:spacing w:after="0" w:line="259" w:lineRule="auto"/>
        <w:tabs>
          <w:tab w:leader="none" w:pos="13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any time after such a declaration of acceleration with respect to the Securities of any series has been made and before a judgment or decree for payment of the money due has been obtained by the Trustee as hereinafter provided in this Article, the Holders of at least a majority in aggregate principal amount of the Securities of such series at the time Outstanding may, subject to Sections 7.06 and 14.02, waive all past Defaults and rescind and annul such acceleration if:</w:t>
      </w:r>
    </w:p>
    <w:p>
      <w:pPr>
        <w:spacing w:after="0" w:line="186" w:lineRule="exact"/>
        <w:rPr>
          <w:rFonts w:ascii="Arial" w:cs="Arial" w:eastAsia="Arial" w:hAnsi="Arial"/>
          <w:sz w:val="18"/>
          <w:szCs w:val="18"/>
          <w:color w:val="auto"/>
        </w:rPr>
      </w:pPr>
    </w:p>
    <w:p>
      <w:pPr>
        <w:ind w:left="660" w:right="160" w:firstLine="645"/>
        <w:spacing w:after="0" w:line="277" w:lineRule="auto"/>
        <w:tabs>
          <w:tab w:leader="none" w:pos="19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rescission of the acceleration with respect to the Securities of such series would not conflict with any judgment or decree of a court of competent jurisdiction; and</w:t>
      </w:r>
    </w:p>
    <w:p>
      <w:pPr>
        <w:spacing w:after="0" w:line="170" w:lineRule="exact"/>
        <w:rPr>
          <w:sz w:val="20"/>
          <w:szCs w:val="20"/>
          <w:color w:val="auto"/>
        </w:rPr>
      </w:pPr>
    </w:p>
    <w:p>
      <w:pPr>
        <w:ind w:left="660" w:right="100" w:firstLine="645"/>
        <w:spacing w:after="0" w:line="342" w:lineRule="auto"/>
        <w:tabs>
          <w:tab w:leader="none" w:pos="19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Events of Default with respect to the Securities of such series, other than the non-payment of principal, premium, if any, or interest on the Securities of such series that became due solely because of such acceleration, have been cured or waived as provided in Section 7.06.</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rescission as provided in this Section 7.02 shall affect any subsequent default or impair any right consequent thereon.</w:t>
      </w:r>
    </w:p>
    <w:p>
      <w:pPr>
        <w:spacing w:after="0" w:line="225" w:lineRule="exact"/>
        <w:rPr>
          <w:rFonts w:ascii="Arial" w:cs="Arial" w:eastAsia="Arial" w:hAnsi="Arial"/>
          <w:sz w:val="18"/>
          <w:szCs w:val="18"/>
          <w:color w:val="auto"/>
        </w:rPr>
      </w:pPr>
    </w:p>
    <w:p>
      <w:pPr>
        <w:ind w:firstLine="656"/>
        <w:spacing w:after="0" w:line="255" w:lineRule="auto"/>
        <w:tabs>
          <w:tab w:leader="none" w:pos="130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3"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Other Remedies</w:t>
      </w:r>
      <w:r>
        <w:rPr>
          <w:rFonts w:ascii="Arial" w:cs="Arial" w:eastAsia="Arial" w:hAnsi="Arial"/>
          <w:sz w:val="17"/>
          <w:szCs w:val="17"/>
          <w:color w:val="auto"/>
        </w:rPr>
        <w:t>. If the Company shall fail for a period of 30 calendar days to pay any installment of interest on the Securities of any series or shall fail to pay the principal of and premium, if any, on any of the Securities of such series when and as the same shall become due and payable, whether at Maturity, or by call for redemption (other than pursuant to the sinking fund), by declaration as authorized by this Indenture, or otherwise, or shall fail for a period of 30 calendar days to make any required sinking fund payment as to a series of Securities, then, upon demand of the Trustee, the Company shall pay to the Paying Agent, for the benefit of the Holders of Securities of such series then Outstanding, the whole amount which then shall have become due and payable on all the Securities of such series, with interest on the overdue principal and premium, if any, and (so far as the same may be legally enforceable) on the overdue installments of interest at the rate borne by the Securities of such series, and all amounts owing the Trustee and any predecessor trustee hereunder under Section 11.01(a).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ind w:right="20" w:firstLine="648"/>
        <w:spacing w:after="0" w:line="253" w:lineRule="auto"/>
        <w:rPr>
          <w:sz w:val="20"/>
          <w:szCs w:val="20"/>
          <w:color w:val="auto"/>
        </w:rPr>
      </w:pPr>
      <w:r>
        <w:rPr>
          <w:rFonts w:ascii="Arial" w:cs="Arial" w:eastAsia="Arial" w:hAnsi="Arial"/>
          <w:sz w:val="18"/>
          <w:szCs w:val="18"/>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Trustee as Attorney-in-Fact</w:t>
      </w:r>
      <w:r>
        <w:rPr>
          <w:rFonts w:ascii="Arial" w:cs="Arial" w:eastAsia="Arial" w:hAnsi="Arial"/>
          <w:sz w:val="17"/>
          <w:szCs w:val="17"/>
          <w:color w:val="auto"/>
        </w:rPr>
        <w:t>.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 In no event shall the foregoing attorney-in-fact authorization be construed as imposing any duty or obligation on the Trustee.</w:t>
      </w:r>
    </w:p>
    <w:p>
      <w:pPr>
        <w:spacing w:after="0" w:line="19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Priorities</w:t>
      </w:r>
      <w:r>
        <w:rPr>
          <w:rFonts w:ascii="Arial" w:cs="Arial" w:eastAsia="Arial" w:hAnsi="Arial"/>
          <w:sz w:val="18"/>
          <w:szCs w:val="18"/>
          <w:color w:val="auto"/>
        </w:rPr>
        <w:t>. Any moneys or properties collected by the Trustee, or, after an Event of Default, any moneys or other property distributable in respect of the Company’s obligations under this Indenture, in either case with respect to a series of Securities under this Article VII shall be applied in the following order, at the date or dates fixed by the Trustee for the distribution of such moneys or properties: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right="220" w:firstLine="648"/>
        <w:spacing w:after="0" w:line="277" w:lineRule="auto"/>
        <w:rPr>
          <w:sz w:val="20"/>
          <w:szCs w:val="20"/>
          <w:color w:val="auto"/>
        </w:rPr>
      </w:pPr>
      <w:r>
        <w:rPr>
          <w:rFonts w:ascii="Arial" w:cs="Arial" w:eastAsia="Arial" w:hAnsi="Arial"/>
          <w:sz w:val="18"/>
          <w:szCs w:val="18"/>
          <w:color w:val="auto"/>
        </w:rPr>
        <w:t>First: To the payment of all amounts due to the Trustee and any predecessor trustee under Section 11.01(a) and the properly incurred expenses and disbursements of its agents, delegates, attorneys and counsel.</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Second: In case the principal of the Outstanding Securities of such series shall not have become due and be unpaid, to the payment of interest on the Securities of such series, in the chronological order of the Stated Maturity of the installments of such interest, with interest (to the extent that such interest has been collected by the Trustee) upon the overdue installments of interest at the rate borne by such Securities, such payments to be made ratably to the Persons entitled thereto.</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Third: In case the principal of the Outstanding Securities of such series shall have become due, by declaration or otherwise, to the payment of the whole amount then owing and unpaid upon the Securities of such series for principal and premium, if any, and interest, with interest on the overdue principal and premium, if any, and (to the extent that such interest has been collected by the Trustee) upon overdue installments of interest at the rate borne by the Securities of such series, and in case such moneys shall be insufficient to pay in full the whole amounts so due and unpaid upon the Securities of such series,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Security of such series over any other Security of such series, ratably to the aggregate of such principal and premium, if any, and accrued and unpaid interest.</w:t>
      </w:r>
    </w:p>
    <w:p>
      <w:pPr>
        <w:spacing w:after="0" w:line="16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Fourth: Any surplus then remaining shall be paid to the Company, its successors or assigns, or to whomsoever may be determined by a court of competent jurisdiction to be so entitled.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Control by Securityholders; Waiver of Past Defaults</w:t>
      </w:r>
      <w:r>
        <w:rPr>
          <w:rFonts w:ascii="Arial" w:cs="Arial" w:eastAsia="Arial" w:hAnsi="Arial"/>
          <w:sz w:val="17"/>
          <w:szCs w:val="17"/>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 11.02, the Trustee shall have the right to decline to follow any such direction if the Trustee being advised by counsel determines that the action so directed may not lawfully be taken or would involve the Trustee in personal liability. The Holders of not less than a majority in aggregate principal amount of such series of Securities at the time Outstanding may on behalf of all Holders of the Securities of such series waive any existing or past Default or Event of Default and its consequences hereunder, except a continuing Default or Event of Default (i) in the payment of principal of, premium, if any, or interest on (or Additional Amount payable in respect of), the Securities of such series then Outstanding, in which event the consent of all Holders of the Securities of such series then Outstanding affected thereby is required, or (ii) in respect of a covenant or provision which under Section 14.02 cannot be modified or amended without the consent of the Holder of each Security of such series then Outstanding affected thereby. Upon any such waiver, the Company, the Trustee and the Holders of the Securities of such series shall be restored to their former positions and rights hereunder, respectively; provided that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2" w:name="page93"/>
    <w:bookmarkEnd w:id="92"/>
    <w:p>
      <w:pPr>
        <w:ind w:right="20" w:firstLine="648"/>
        <w:spacing w:after="0" w:line="284"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Limitation on Suits</w:t>
      </w:r>
      <w:r>
        <w:rPr>
          <w:rFonts w:ascii="Arial" w:cs="Arial" w:eastAsia="Arial" w:hAnsi="Arial"/>
          <w:sz w:val="16"/>
          <w:szCs w:val="16"/>
          <w:color w:val="auto"/>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(i) such Holder previously shall have given to the Trustee written notice of one or more of the Events of Default herein specified with respect to such series of Securities, (ii) the Holders of not less than 25% in aggregate principal amount of the Securities of such series then Outstanding shall have requested the Trustee in writing to take action in respect of the matter complained of, (iii) there shall have been offered to the Trustee pre-funding, security and/or indemnity satisfactory to it against the costs, expenses and liabilities to be incurred therein or thereby, and</w:t>
      </w:r>
    </w:p>
    <w:p>
      <w:pPr>
        <w:spacing w:after="0" w:line="5" w:lineRule="exact"/>
        <w:rPr>
          <w:sz w:val="20"/>
          <w:szCs w:val="20"/>
          <w:color w:val="auto"/>
        </w:rPr>
      </w:pPr>
    </w:p>
    <w:p>
      <w:pPr>
        <w:ind w:firstLine="8"/>
        <w:spacing w:after="0" w:line="286" w:lineRule="auto"/>
        <w:tabs>
          <w:tab w:leader="none" w:pos="30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for 60 calendar days after receipt of such notification, request and offer of security, pre-funding and/or indemnity, shall have failed to institute any such action, suit or proceeding and have not received from the Holders of a majority in aggregate principal amount of the Securities of such series then Outstanding a direction inconsistent with such request; and such notification, request and offer of security, pre-funding and/or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premium, if any, or the interest on, any of the Securities of such series, on or after the respective due dates expressed in such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ind w:firstLine="648"/>
        <w:spacing w:after="0" w:line="287"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Remedies Cumulative; Delay or Omission Not Waiver</w:t>
      </w:r>
      <w:r>
        <w:rPr>
          <w:rFonts w:ascii="Arial" w:cs="Arial" w:eastAsia="Arial" w:hAnsi="Arial"/>
          <w:sz w:val="16"/>
          <w:szCs w:val="16"/>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subject to any determinations in such proceedings,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CONCERNING THE SECURITYHOLDERS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Evidence of Action of Securityholders</w:t>
      </w:r>
      <w:r>
        <w:rPr>
          <w:rFonts w:ascii="Arial" w:cs="Arial" w:eastAsia="Arial" w:hAnsi="Arial"/>
          <w:sz w:val="17"/>
          <w:szCs w:val="17"/>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4" w:name="page95"/>
    <w:bookmarkEnd w:id="94"/>
    <w:p>
      <w:pPr>
        <w:ind w:right="340" w:firstLine="648"/>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or Holding of Securities</w:t>
      </w:r>
      <w:r>
        <w:rPr>
          <w:rFonts w:ascii="Arial" w:cs="Arial" w:eastAsia="Arial" w:hAnsi="Arial"/>
          <w:sz w:val="18"/>
          <w:szCs w:val="18"/>
          <w:color w:val="auto"/>
        </w:rPr>
        <w:t>. Proof of the execution of any instrument by a Securityholder or his, her or its agent or proxy and proof of the holding by any Person of any of the Securities shall be sufficient if made in the following manner:</w:t>
      </w:r>
    </w:p>
    <w:p>
      <w:pPr>
        <w:spacing w:after="0" w:line="170" w:lineRule="exact"/>
        <w:rPr>
          <w:sz w:val="20"/>
          <w:szCs w:val="20"/>
          <w:color w:val="auto"/>
        </w:rPr>
      </w:pPr>
    </w:p>
    <w:p>
      <w:pPr>
        <w:ind w:left="660" w:firstLine="645"/>
        <w:spacing w:after="0" w:line="276" w:lineRule="auto"/>
        <w:tabs>
          <w:tab w:leader="none" w:pos="195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ownership of Securities of any series shall be proved by the Register of such Securities or by a certificate of the Registrar for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series.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record of any Holders’ meeting shall be proved in the manner provided in Section 9.06.</w:t>
      </w:r>
    </w:p>
    <w:p>
      <w:pPr>
        <w:spacing w:after="0" w:line="225" w:lineRule="exact"/>
        <w:rPr>
          <w:rFonts w:ascii="Arial" w:cs="Arial" w:eastAsia="Arial" w:hAnsi="Arial"/>
          <w:sz w:val="18"/>
          <w:szCs w:val="18"/>
          <w:color w:val="auto"/>
        </w:rPr>
      </w:pPr>
    </w:p>
    <w:p>
      <w:pPr>
        <w:ind w:left="660" w:right="640" w:firstLine="645"/>
        <w:spacing w:after="0" w:line="277" w:lineRule="auto"/>
        <w:tabs>
          <w:tab w:leader="none" w:pos="1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8.02 as it shall deem appropriate or necessary, so long as the request is a reasonable one.</w:t>
      </w:r>
    </w:p>
    <w:p>
      <w:pPr>
        <w:spacing w:after="0" w:line="170" w:lineRule="exact"/>
        <w:rPr>
          <w:rFonts w:ascii="Arial" w:cs="Arial" w:eastAsia="Arial" w:hAnsi="Arial"/>
          <w:sz w:val="18"/>
          <w:szCs w:val="18"/>
          <w:color w:val="auto"/>
        </w:rPr>
      </w:pPr>
    </w:p>
    <w:p>
      <w:pPr>
        <w:ind w:left="660" w:right="20" w:firstLine="645"/>
        <w:spacing w:after="0" w:line="290" w:lineRule="auto"/>
        <w:tabs>
          <w:tab w:leader="none" w:pos="196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record date shall not be more than 30 calendar days prior to the first solicitation of any consent or waiver or more than 30 calendar days prior to the date of the most recent list of Holders furnished to the Trustee prior to such solicitation pursuant to Section 312 of the TIA.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(a) The Company, the Trustee and any agent of the Company or the Trustee may treat the Person in whose name any Security is registered in the Register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agent of the Company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5" w:name="page96"/>
    <w:bookmarkEnd w:id="95"/>
    <w:p>
      <w:pPr>
        <w:ind w:right="100" w:firstLine="656"/>
        <w:spacing w:after="0" w:line="264" w:lineRule="auto"/>
        <w:tabs>
          <w:tab w:leader="none" w:pos="13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None of the Company, the Trustee, any Paying Agent or the Registrar shall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Effect of Consents</w:t>
      </w:r>
      <w:r>
        <w:rPr>
          <w:rFonts w:ascii="Arial" w:cs="Arial" w:eastAsia="Arial" w:hAnsi="Arial"/>
          <w:sz w:val="16"/>
          <w:szCs w:val="16"/>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SECURITYHOLDERS’ MEETINGS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Purposes of Meetings</w:t>
      </w:r>
      <w:r>
        <w:rPr>
          <w:rFonts w:ascii="Arial" w:cs="Arial" w:eastAsia="Arial" w:hAnsi="Arial"/>
          <w:sz w:val="18"/>
          <w:szCs w:val="18"/>
          <w:color w:val="auto"/>
        </w:rPr>
        <w:t>. A meeting of Securityholders of any or all series may be called at any time and from time to time pursuant to the provisions of this Article IX for any of the following purposes:</w:t>
      </w:r>
    </w:p>
    <w:p>
      <w:pPr>
        <w:spacing w:after="0" w:line="170" w:lineRule="exact"/>
        <w:rPr>
          <w:sz w:val="20"/>
          <w:szCs w:val="20"/>
          <w:color w:val="auto"/>
        </w:rPr>
      </w:pPr>
    </w:p>
    <w:p>
      <w:pPr>
        <w:ind w:left="660" w:right="100" w:firstLine="645"/>
        <w:spacing w:after="0" w:line="264" w:lineRule="auto"/>
        <w:tabs>
          <w:tab w:leader="none" w:pos="195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XI;</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consent to the execution of an Indenture or of indentures supplemental hereto pursuant to the provisions of Section 14.02; or</w:t>
      </w:r>
    </w:p>
    <w:p>
      <w:pPr>
        <w:spacing w:after="0" w:line="248" w:lineRule="exact"/>
        <w:rPr>
          <w:rFonts w:ascii="Arial" w:cs="Arial" w:eastAsia="Arial" w:hAnsi="Arial"/>
          <w:sz w:val="16"/>
          <w:szCs w:val="16"/>
          <w:color w:val="auto"/>
        </w:rPr>
      </w:pPr>
    </w:p>
    <w:p>
      <w:pPr>
        <w:ind w:left="660" w:right="240" w:firstLine="645"/>
        <w:spacing w:after="0" w:line="308" w:lineRule="auto"/>
        <w:tabs>
          <w:tab w:leader="none" w:pos="196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Call of Meetings by Trustee</w:t>
      </w:r>
      <w:r>
        <w:rPr>
          <w:rFonts w:ascii="Arial" w:cs="Arial" w:eastAsia="Arial" w:hAnsi="Arial"/>
          <w:sz w:val="17"/>
          <w:szCs w:val="17"/>
          <w:color w:val="auto"/>
        </w:rPr>
        <w:t>. The Trustee may at any time call a meeting of all Securityholders of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Such notice shall be mailed not less than 20 nor more than 90 calendar days prior to the date fixed for the meeting.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ind w:right="100" w:firstLine="648"/>
        <w:spacing w:after="0" w:line="273"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Call of Meetings by Company or Securityholders</w:t>
      </w:r>
      <w:r>
        <w:rPr>
          <w:rFonts w:ascii="Arial" w:cs="Arial" w:eastAsia="Arial" w:hAnsi="Arial"/>
          <w:sz w:val="17"/>
          <w:szCs w:val="17"/>
          <w:color w:val="auto"/>
        </w:rPr>
        <w:t>. In case at any time the Company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Qualifications for Voting</w:t>
      </w:r>
      <w:r>
        <w:rPr>
          <w:rFonts w:ascii="Arial" w:cs="Arial" w:eastAsia="Arial" w:hAnsi="Arial"/>
          <w:sz w:val="16"/>
          <w:szCs w:val="16"/>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Regulation of Meetings</w:t>
      </w:r>
      <w:r>
        <w:rPr>
          <w:rFonts w:ascii="Arial" w:cs="Arial" w:eastAsia="Arial" w:hAnsi="Arial"/>
          <w:sz w:val="18"/>
          <w:szCs w:val="18"/>
          <w:color w:val="auto"/>
        </w:rPr>
        <w:t>. (a) 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87" w:lineRule="exact"/>
        <w:rPr>
          <w:sz w:val="20"/>
          <w:szCs w:val="20"/>
          <w:color w:val="auto"/>
        </w:rPr>
      </w:pPr>
    </w:p>
    <w:p>
      <w:pPr>
        <w:jc w:val="both"/>
        <w:ind w:right="220" w:firstLine="656"/>
        <w:spacing w:after="0" w:line="259"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may,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86" w:lineRule="exact"/>
        <w:rPr>
          <w:rFonts w:ascii="Arial" w:cs="Arial" w:eastAsia="Arial" w:hAnsi="Arial"/>
          <w:sz w:val="18"/>
          <w:szCs w:val="18"/>
          <w:color w:val="auto"/>
        </w:rPr>
      </w:pPr>
    </w:p>
    <w:p>
      <w:pPr>
        <w:ind w:firstLine="656"/>
        <w:spacing w:after="0" w:line="290" w:lineRule="auto"/>
        <w:tabs>
          <w:tab w:leader="none" w:pos="130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At any meeting of Securityholders of a series, each Securityholder of such series of such Securityholder’s proxy shall be entitled to one vote for each US$1,000 principal amount of Securities of such series Outstanding held or represented by him or 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ind w:right="60" w:firstLine="648"/>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Voting</w:t>
      </w:r>
      <w:r>
        <w:rPr>
          <w:rFonts w:ascii="Arial" w:cs="Arial" w:eastAsia="Arial" w:hAnsi="Arial"/>
          <w:sz w:val="17"/>
          <w:szCs w:val="17"/>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REPORTS BY THE COMPANY AND THE TRUSTEE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SECURITYHOLDERS’ LISTS</w:t>
      </w:r>
    </w:p>
    <w:p>
      <w:pPr>
        <w:sectPr>
          <w:pgSz w:w="11900" w:h="16838" w:orient="portrait"/>
          <w:cols w:equalWidth="0" w:num="1">
            <w:col w:w="11420"/>
          </w:cols>
          <w:pgMar w:left="240" w:top="341" w:right="239" w:bottom="0" w:gutter="0" w:footer="0" w:header="0"/>
        </w:sectPr>
      </w:pP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Reports by Trustee</w:t>
      </w:r>
      <w:r>
        <w:rPr>
          <w:rFonts w:ascii="Arial" w:cs="Arial" w:eastAsia="Arial" w:hAnsi="Arial"/>
          <w:sz w:val="16"/>
          <w:szCs w:val="16"/>
          <w:color w:val="auto"/>
        </w:rPr>
        <w:t>. Within 60 days after each [ provided in TIA Section 313(c) a brief report dated as of such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40" w:firstLine="345"/>
        <w:spacing w:after="0" w:line="277" w:lineRule="auto"/>
        <w:rPr>
          <w:sz w:val="20"/>
          <w:szCs w:val="20"/>
          <w:color w:val="auto"/>
        </w:rPr>
      </w:pPr>
      <w:r>
        <w:rPr>
          <w:rFonts w:ascii="Arial" w:cs="Arial" w:eastAsia="Arial" w:hAnsi="Arial"/>
          <w:sz w:val="18"/>
          <w:szCs w:val="18"/>
          <w:color w:val="auto"/>
        </w:rPr>
        <w:t>], beginning with [ ], 2019, the Trustee shall mail to each Holder as ], if required by TIA Section 313(a).</w:t>
      </w:r>
    </w:p>
    <w:p>
      <w:pPr>
        <w:spacing w:after="0" w:line="170" w:lineRule="exact"/>
        <w:rPr>
          <w:sz w:val="20"/>
          <w:szCs w:val="20"/>
          <w:color w:val="auto"/>
        </w:rPr>
      </w:pPr>
    </w:p>
    <w:p>
      <w:pPr>
        <w:sectPr>
          <w:pgSz w:w="11900" w:h="16838" w:orient="portrait"/>
          <w:cols w:equalWidth="0" w:num="2">
            <w:col w:w="5180" w:space="60"/>
            <w:col w:w="6180"/>
          </w:cols>
          <w:pgMar w:left="240" w:top="341" w:right="239" w:bottom="0" w:gutter="0" w:footer="0" w:header="0"/>
          <w:type w:val="continuous"/>
        </w:sectPr>
      </w:pPr>
    </w:p>
    <w:p>
      <w:pPr>
        <w:jc w:val="both"/>
        <w:ind w:right="160" w:firstLine="648"/>
        <w:spacing w:after="0" w:line="264" w:lineRule="auto"/>
        <w:rPr>
          <w:sz w:val="20"/>
          <w:szCs w:val="20"/>
          <w:color w:val="auto"/>
        </w:rPr>
      </w:pPr>
      <w:r>
        <w:rPr>
          <w:rFonts w:ascii="Arial" w:cs="Arial" w:eastAsia="Arial" w:hAnsi="Arial"/>
          <w:sz w:val="18"/>
          <w:szCs w:val="18"/>
          <w:color w:val="auto"/>
        </w:rPr>
        <w:t>A copy of each such report at the time of its mailing to the Holders of Notes shall be mailed to the Company and filed with the SEC and each stock exchange, if any, on which the Notes are listed in accordance with TIA Section 313(d). The Company shall promptly notify the Trustee when the Notes are listed on any stock exchange or of any delisting thereof.</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shall reimburse the Trustee for all reasonable expenses incurred in the preparation and transmission of any report pursuant to the provisions of this Section 10.01 and of Section 10.02.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Reports by the Company</w:t>
      </w:r>
      <w:r>
        <w:rPr>
          <w:rFonts w:ascii="Arial" w:cs="Arial" w:eastAsia="Arial" w:hAnsi="Arial"/>
          <w:sz w:val="17"/>
          <w:szCs w:val="17"/>
          <w:color w:val="auto"/>
        </w:rPr>
        <w:t xml:space="preserve">. The Company shall file with the Trustee and the SEC, and transmit to Holders, such information, documents and other reports, and such summaries thereof, as may be required pursuant to the Trust Indenture Act at the times and in the manner provided in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information, documents or reports required to be filed with the SEC pursuant to Section 13 or 15(d) of the Exchange Act shall be filed with the Trustee within 30 calendar days after the same is filed with the SEC;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filing of the reports specified in Section 13 or 15(d) of the Exchange Act by an entity that is the direct or indirect parent of the Company shall satisfy the requirements of this Section 10.02 so long as such entity is an obligor or guarantor on the Securities;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reports of such entity shall not be required to include condensed consolidating financial information for the Company in a footnote to the financial statements of such entity.</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 It is expressly understood that materials transmitted electronically by the Company to the Trustee or filed pursuant to the SEC’s EDGAR system (or any successor electronic filing system) shall be deemed filed with the Trustee and transmitted to Holders for purposes of this Section 10.02. The Trustee shall have no obligation to determine if and when and such reports have been filed.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Securityholders’ Lists</w:t>
      </w:r>
      <w:r>
        <w:rPr>
          <w:rFonts w:ascii="Arial" w:cs="Arial" w:eastAsia="Arial" w:hAnsi="Arial"/>
          <w:sz w:val="18"/>
          <w:szCs w:val="18"/>
          <w:color w:val="auto"/>
        </w:rPr>
        <w:t>. The Company covenants and agrees that it shall furnish or cause to be furnished to the Trustee:</w:t>
      </w:r>
    </w:p>
    <w:p>
      <w:pPr>
        <w:spacing w:after="0" w:line="225" w:lineRule="exact"/>
        <w:rPr>
          <w:sz w:val="20"/>
          <w:szCs w:val="20"/>
          <w:color w:val="auto"/>
        </w:rPr>
      </w:pPr>
    </w:p>
    <w:p>
      <w:pPr>
        <w:jc w:val="both"/>
        <w:ind w:left="660" w:right="260" w:firstLine="645"/>
        <w:spacing w:after="0" w:line="264" w:lineRule="auto"/>
        <w:tabs>
          <w:tab w:leader="none" w:pos="19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semi-annually, within 15 calendar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81" w:lineRule="exact"/>
        <w:rPr>
          <w:rFonts w:ascii="Arial" w:cs="Arial" w:eastAsia="Arial" w:hAnsi="Arial"/>
          <w:sz w:val="18"/>
          <w:szCs w:val="18"/>
          <w:color w:val="auto"/>
        </w:rPr>
      </w:pPr>
    </w:p>
    <w:p>
      <w:pPr>
        <w:ind w:left="660" w:right="580" w:firstLine="645"/>
        <w:spacing w:after="0" w:line="308" w:lineRule="auto"/>
        <w:tabs>
          <w:tab w:leader="none" w:pos="196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at such other times as the Trustee may request in writing, within 30 calendar days after receipt by the Company of any such request, a list of similar form and content as of a date not more than 15 calendar days prior to the time such list is furnished;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shall be the Registrar, such lists shall not be required to be furnished.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CONCERNING THE TRUSTEE</w:t>
      </w:r>
    </w:p>
    <w:p>
      <w:pPr>
        <w:spacing w:after="0" w:line="22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Rights of Trustees; Compensation and Indemnity</w:t>
      </w:r>
      <w:r>
        <w:rPr>
          <w:rFonts w:ascii="Arial" w:cs="Arial" w:eastAsia="Arial" w:hAnsi="Arial"/>
          <w:sz w:val="17"/>
          <w:szCs w:val="17"/>
          <w:color w:val="auto"/>
        </w:rPr>
        <w:t>. The Trustee accepts the trusts created by this Indenture upon the terms and conditions hereof, including the following, to all of which the parties hereto and the Holders from time to time of the Securities agree:</w:t>
      </w:r>
    </w:p>
    <w:p>
      <w:pPr>
        <w:spacing w:after="0" w:line="147" w:lineRule="exact"/>
        <w:rPr>
          <w:sz w:val="20"/>
          <w:szCs w:val="20"/>
          <w:color w:val="auto"/>
        </w:rPr>
      </w:pPr>
    </w:p>
    <w:p>
      <w:pPr>
        <w:ind w:left="660" w:right="120" w:firstLine="645"/>
        <w:spacing w:after="0" w:line="255" w:lineRule="auto"/>
        <w:tabs>
          <w:tab w:leader="none" w:pos="19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out-of-pocket expenses, disbursements and advances properly incurred or made by the Trustee (including, without limitation, the reasonably incurred expenses and disbursements of its agents, delegates, attorneys and counsel), except any such expense, disbursement or advance caused by its own negligence or willful misconduct.</w:t>
      </w:r>
    </w:p>
    <w:p>
      <w:pPr>
        <w:sectPr>
          <w:pgSz w:w="11900" w:h="16838" w:orient="portrait"/>
          <w:cols w:equalWidth="0" w:num="1">
            <w:col w:w="11420"/>
          </w:cols>
          <w:pgMar w:left="240" w:top="341" w:right="239"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9" w:name="page100"/>
    <w:bookmarkEnd w:id="99"/>
    <w:p>
      <w:pPr>
        <w:ind w:firstLine="648"/>
        <w:spacing w:after="0" w:line="290" w:lineRule="auto"/>
        <w:rPr>
          <w:sz w:val="20"/>
          <w:szCs w:val="20"/>
          <w:color w:val="auto"/>
        </w:rPr>
      </w:pPr>
      <w:r>
        <w:rPr>
          <w:rFonts w:ascii="Arial" w:cs="Arial" w:eastAsia="Arial" w:hAnsi="Arial"/>
          <w:sz w:val="16"/>
          <w:szCs w:val="16"/>
          <w:color w:val="auto"/>
        </w:rPr>
        <w:t xml:space="preserve">The Company also agrees to indemnify each of the Trustee and its officers, directors, employees, agents, counsel and affiliates, and any predecessor Trustee hereunder for, and to hold it harmless against, any and all loss, liability, damage, claim, or expense incurred without its own negligence or willful misconduct, arising out of or in connection with the acceptance or administration of the trust or trusts hereunder and the performance of its duties (including in any agent capacity in which it acts), as well as the costs and expenses of defending itself against any claim or liability in connection with the exercise or performance of any of its powers or duties hereunder, except those caused by its own negligence or willful misconduct. The Trustee shall notify the Company promptly of any claim for which it may seek indemnity;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so notify the Company shall not affect the obligations of the Company hereunder to indemnify. In the absence of a Default or an Event of Default, the Company need not pay for any settlement made without its consent, which consent shall not be unreasonably withheld.</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security for the performance of the obligations of the Company under this Section 11.01(a), the Trustee shall have a lien upon all property and funds held or collected by the Trustee as such, except funds held in trust by the Trustee to pay principal of and interest on any Securities. Notwithstanding any provisions of this Indenture to the contrary, the obligations of the Company to compensate and indemnify the Trustee under this Section 11.01(a) shall survive the resignation or removal of the Trustee, any satisfaction and discharge under Article XII , the payment of any Securities and the termination of this Indenture for any reason. In addition to and without prejudice to its other rights hereunder, when the Trustee incurs expenses or renders services after an Event of Default specified in clause (g) or (h) of Section 7.01 occurs, the expenses and compensation for the services are intended to constitute expenses of administration under the Bankruptcy Code or any applicable state bankruptcy, insolvency or similar laws.</w:t>
      </w:r>
    </w:p>
    <w:p>
      <w:pPr>
        <w:spacing w:after="0" w:line="192" w:lineRule="exact"/>
        <w:rPr>
          <w:sz w:val="20"/>
          <w:szCs w:val="20"/>
          <w:color w:val="auto"/>
        </w:rPr>
      </w:pPr>
    </w:p>
    <w:p>
      <w:pPr>
        <w:ind w:right="20" w:firstLine="645"/>
        <w:spacing w:after="0" w:line="264" w:lineRule="auto"/>
        <w:tabs>
          <w:tab w:leader="none" w:pos="13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hereof and perform any duty hereunder either directly or by its agents, delegates and attorneys and shall not be responsible for any misconduct or negligence on the part of any agent or attorney appointed with due care by it hereunder.</w:t>
      </w:r>
    </w:p>
    <w:p>
      <w:pPr>
        <w:spacing w:after="0" w:line="181" w:lineRule="exact"/>
        <w:rPr>
          <w:rFonts w:ascii="Arial" w:cs="Arial" w:eastAsia="Arial" w:hAnsi="Arial"/>
          <w:sz w:val="18"/>
          <w:szCs w:val="18"/>
          <w:color w:val="auto"/>
        </w:rPr>
      </w:pPr>
    </w:p>
    <w:p>
      <w:pPr>
        <w:ind w:right="60" w:firstLine="645"/>
        <w:spacing w:after="0" w:line="291" w:lineRule="auto"/>
        <w:tabs>
          <w:tab w:leader="none" w:pos="13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00" w:name="page101"/>
    <w:bookmarkEnd w:id="100"/>
    <w:p>
      <w:pPr>
        <w:ind w:left="-540" w:right="80" w:firstLine="645"/>
        <w:spacing w:after="0" w:line="342" w:lineRule="auto"/>
        <w:tabs>
          <w:tab w:leader="none" w:pos="76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any Opinion of Counsel shall be full and complete authorization and protection in respect of any action taken, suffered or omitted by the Trustee hereunder in reliance thereon.</w:t>
      </w:r>
    </w:p>
    <w:p>
      <w:pPr>
        <w:spacing w:after="0" w:line="123" w:lineRule="exact"/>
        <w:rPr>
          <w:rFonts w:ascii="Arial" w:cs="Arial" w:eastAsia="Arial" w:hAnsi="Arial"/>
          <w:sz w:val="16"/>
          <w:szCs w:val="16"/>
          <w:color w:val="auto"/>
        </w:rPr>
      </w:pPr>
    </w:p>
    <w:p>
      <w:pPr>
        <w:ind w:left="-540" w:right="60" w:firstLine="645"/>
        <w:spacing w:after="0" w:line="276" w:lineRule="auto"/>
        <w:tabs>
          <w:tab w:leader="none" w:pos="76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Trustee, subject to Section 11.02,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172" w:lineRule="exact"/>
        <w:rPr>
          <w:rFonts w:ascii="Arial" w:cs="Arial" w:eastAsia="Arial" w:hAnsi="Arial"/>
          <w:sz w:val="17"/>
          <w:szCs w:val="17"/>
          <w:color w:val="auto"/>
        </w:rPr>
      </w:pPr>
    </w:p>
    <w:p>
      <w:pPr>
        <w:jc w:val="both"/>
        <w:ind w:left="-540" w:right="40" w:firstLine="645"/>
        <w:spacing w:after="0" w:line="264" w:lineRule="auto"/>
        <w:tabs>
          <w:tab w:leader="none" w:pos="76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Section 11.04, the Trustee or any agent of the Trustee, in its individual or any other capacity, may become the owner or pledgee of Securities and, subject to Sections 310(b) and 311 of the TIA, may otherwise deal with the Company with the same rights it would have had if it were not the Trustee or such agent.</w:t>
      </w:r>
    </w:p>
    <w:p>
      <w:pPr>
        <w:spacing w:after="0" w:line="181" w:lineRule="exact"/>
        <w:rPr>
          <w:rFonts w:ascii="Arial" w:cs="Arial" w:eastAsia="Arial" w:hAnsi="Arial"/>
          <w:sz w:val="18"/>
          <w:szCs w:val="18"/>
          <w:color w:val="auto"/>
        </w:rPr>
      </w:pPr>
    </w:p>
    <w:p>
      <w:pPr>
        <w:ind w:left="-540" w:firstLine="645"/>
        <w:spacing w:after="0" w:line="264" w:lineRule="auto"/>
        <w:tabs>
          <w:tab w:leader="none" w:pos="77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or investment of any money received by it hereunder except as otherwise agreed in writing with the Company.</w:t>
      </w:r>
    </w:p>
    <w:p>
      <w:pPr>
        <w:spacing w:after="0" w:line="181" w:lineRule="exact"/>
        <w:rPr>
          <w:rFonts w:ascii="Arial" w:cs="Arial" w:eastAsia="Arial" w:hAnsi="Arial"/>
          <w:sz w:val="18"/>
          <w:szCs w:val="18"/>
          <w:color w:val="auto"/>
        </w:rPr>
      </w:pPr>
    </w:p>
    <w:p>
      <w:pPr>
        <w:ind w:left="-540" w:right="80" w:firstLine="645"/>
        <w:spacing w:after="0" w:line="259" w:lineRule="auto"/>
        <w:tabs>
          <w:tab w:leader="none" w:pos="7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86" w:lineRule="exact"/>
        <w:rPr>
          <w:rFonts w:ascii="Arial" w:cs="Arial" w:eastAsia="Arial" w:hAnsi="Arial"/>
          <w:sz w:val="18"/>
          <w:szCs w:val="18"/>
          <w:color w:val="auto"/>
        </w:rPr>
      </w:pPr>
    </w:p>
    <w:p>
      <w:pPr>
        <w:ind w:left="-540" w:right="40" w:firstLine="645"/>
        <w:spacing w:after="0" w:line="264" w:lineRule="auto"/>
        <w:tabs>
          <w:tab w:leader="none" w:pos="7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consent, order, approval,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540" w:right="100" w:firstLine="645"/>
        <w:spacing w:after="0" w:line="259" w:lineRule="auto"/>
        <w:tabs>
          <w:tab w:leader="none" w:pos="7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pre-funding, security and/or indemnity satisfactory to it against the costs, expenses and liabilities which may be incurred by it therein or thereby.</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101" w:name="page102"/>
    <w:bookmarkEnd w:id="101"/>
    <w:p>
      <w:pPr>
        <w:ind w:left="-540" w:right="440" w:firstLine="645"/>
        <w:spacing w:after="0" w:line="277" w:lineRule="auto"/>
        <w:tabs>
          <w:tab w:leader="none" w:pos="7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by it in good faith and believed by it to be authorized or within the rights or powers conferred upon it by this Indenture.</w:t>
      </w:r>
    </w:p>
    <w:p>
      <w:pPr>
        <w:spacing w:after="0" w:line="170" w:lineRule="exact"/>
        <w:rPr>
          <w:rFonts w:ascii="Arial" w:cs="Arial" w:eastAsia="Arial" w:hAnsi="Arial"/>
          <w:sz w:val="18"/>
          <w:szCs w:val="18"/>
          <w:color w:val="auto"/>
        </w:rPr>
      </w:pPr>
    </w:p>
    <w:p>
      <w:pPr>
        <w:ind w:left="-540" w:right="200" w:firstLine="645"/>
        <w:spacing w:after="0" w:line="259" w:lineRule="auto"/>
        <w:tabs>
          <w:tab w:leader="none" w:pos="7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or be charged with notice of any Default or Event of Default with respect to any Securities unless a Responsible Officer of the Trustee has actual knowledge by way of written notice thereof or unless the Holders of not less than 25% of the Outstanding Securities notify the Trustee thereof by a written notice to the Trustee that is received by the Trustee at its Corporate Trust Office and such notice references such Securities and this Indenture.</w:t>
      </w:r>
    </w:p>
    <w:p>
      <w:pPr>
        <w:spacing w:after="0" w:line="186" w:lineRule="exact"/>
        <w:rPr>
          <w:rFonts w:ascii="Arial" w:cs="Arial" w:eastAsia="Arial" w:hAnsi="Arial"/>
          <w:sz w:val="18"/>
          <w:szCs w:val="18"/>
          <w:color w:val="auto"/>
        </w:rPr>
      </w:pPr>
    </w:p>
    <w:p>
      <w:pPr>
        <w:ind w:left="-540" w:right="40" w:firstLine="645"/>
        <w:spacing w:after="0" w:line="302" w:lineRule="auto"/>
        <w:tabs>
          <w:tab w:leader="none" w:pos="7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The Trustee shall not be bound to make any investigation into the facts or matters stated in any resolution, certificate, statement, instrument, opinion, report, notice, request, direction, consent, order, bond, debenture, note, other evidence of Indebtedness or other paper or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may, but shall not be required to, make further inquiry or investigation into such facts or matters as it may see fit at the expense of the Company and shall incur no liability of any kind by reason of such inquiry or investigation.</w:t>
      </w:r>
    </w:p>
    <w:p>
      <w:pPr>
        <w:spacing w:after="0" w:line="154" w:lineRule="exact"/>
        <w:rPr>
          <w:rFonts w:ascii="Arial" w:cs="Arial" w:eastAsia="Arial" w:hAnsi="Arial"/>
          <w:sz w:val="16"/>
          <w:szCs w:val="16"/>
          <w:color w:val="auto"/>
        </w:rPr>
      </w:pPr>
    </w:p>
    <w:p>
      <w:pPr>
        <w:ind w:left="-540" w:right="400" w:firstLine="645"/>
        <w:spacing w:after="0" w:line="264" w:lineRule="auto"/>
        <w:tabs>
          <w:tab w:leader="none" w:pos="7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secured, pre-funded and/or indemnified, are extended to, and shall be enforceable by, the Trustee in each of its capacities hereunder, and to each agent, custodian and other person employed to act hereunder.</w:t>
      </w:r>
    </w:p>
    <w:p>
      <w:pPr>
        <w:spacing w:after="0" w:line="181" w:lineRule="exact"/>
        <w:rPr>
          <w:rFonts w:ascii="Arial" w:cs="Arial" w:eastAsia="Arial" w:hAnsi="Arial"/>
          <w:sz w:val="18"/>
          <w:szCs w:val="18"/>
          <w:color w:val="auto"/>
        </w:rPr>
      </w:pPr>
    </w:p>
    <w:p>
      <w:pPr>
        <w:ind w:left="-540" w:right="380" w:firstLine="645"/>
        <w:spacing w:after="0" w:line="312" w:lineRule="auto"/>
        <w:tabs>
          <w:tab w:leader="none" w:pos="76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no event shall the Trustee, the Paying Agent, the transfer agent or the Registrar be responsible or liable for special, indirect, punitive, or consequential loss or damage of any kind whatsoever (including, but not limited to, loss of profit), whether or not foreseeable and irrespective of whether the Trustee has been advised of the likelihood of such loss or damage and regardless of the form of action.</w:t>
      </w:r>
    </w:p>
    <w:p>
      <w:pPr>
        <w:spacing w:after="0" w:line="146" w:lineRule="exact"/>
        <w:rPr>
          <w:rFonts w:ascii="Arial" w:cs="Arial" w:eastAsia="Arial" w:hAnsi="Arial"/>
          <w:sz w:val="16"/>
          <w:szCs w:val="16"/>
          <w:color w:val="auto"/>
        </w:rPr>
      </w:pPr>
    </w:p>
    <w:p>
      <w:pPr>
        <w:ind w:left="-540" w:right="280" w:firstLine="645"/>
        <w:spacing w:after="0" w:line="259" w:lineRule="auto"/>
        <w:tabs>
          <w:tab w:leader="none" w:pos="7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6" w:lineRule="exact"/>
        <w:rPr>
          <w:rFonts w:ascii="Arial" w:cs="Arial" w:eastAsia="Arial" w:hAnsi="Arial"/>
          <w:sz w:val="18"/>
          <w:szCs w:val="18"/>
          <w:color w:val="auto"/>
        </w:rPr>
      </w:pPr>
    </w:p>
    <w:p>
      <w:pPr>
        <w:ind w:left="760" w:hanging="655"/>
        <w:spacing w:after="0"/>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permissive right of the Trustee to take or refrain from taking action hereunder shall not be construed as a duty.</w:t>
      </w:r>
    </w:p>
    <w:p>
      <w:pPr>
        <w:spacing w:after="0" w:line="225" w:lineRule="exact"/>
        <w:rPr>
          <w:rFonts w:ascii="Arial" w:cs="Arial" w:eastAsia="Arial" w:hAnsi="Arial"/>
          <w:sz w:val="18"/>
          <w:szCs w:val="18"/>
          <w:color w:val="auto"/>
        </w:rPr>
      </w:pPr>
    </w:p>
    <w:p>
      <w:pPr>
        <w:ind w:left="-540" w:firstLine="645"/>
        <w:spacing w:after="0" w:line="254" w:lineRule="auto"/>
        <w:tabs>
          <w:tab w:leader="none" w:pos="77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refrain from taking any action in any jurisdiction if taking such action in that jurisdiction would, in the reasonable opinion of the Trustee based on written legal advice received from qualified legal counsel in the relevant jurisdiction, be contrary to any law of that jurisdiction or, to the extent applicable, the State of New York. Furthermore, the Trustee may refrain from taking such action if, in the reasonable opinion of the Trustee based on such legal advice, it would otherwise render the Trustee liable to any person in that jurisdiction or the State of New York and there has not been offered to the Trustee pre-funding, security and/or indemnity satisfactory to it against the liabilities to be incurred therein or thereby, or the Trustee would not have the legal capacity to take such action in that jurisdiction by virtue of applicable law in that jurisdiction or the State of New York or by virtue of a written order of any court or other competent authority in that jurisdiction that the Trustee does not have such legal capacity.</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02" w:name="page103"/>
    <w:bookmarkEnd w:id="102"/>
    <w:p>
      <w:pPr>
        <w:ind w:right="40" w:firstLine="648"/>
        <w:spacing w:after="0" w:line="259"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Duties of Trustee</w:t>
      </w:r>
      <w:r>
        <w:rPr>
          <w:rFonts w:ascii="Arial" w:cs="Arial" w:eastAsia="Arial" w:hAnsi="Arial"/>
          <w:sz w:val="18"/>
          <w:szCs w:val="18"/>
          <w:color w:val="auto"/>
        </w:rPr>
        <w:t>. (a) 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its exercise, as a prudent person would exercise or use under the circumstances in the conduct of such person’s own affairs.</w:t>
      </w:r>
    </w:p>
    <w:p>
      <w:pPr>
        <w:spacing w:after="0" w:line="187" w:lineRule="exact"/>
        <w:rPr>
          <w:sz w:val="20"/>
          <w:szCs w:val="20"/>
          <w:color w:val="auto"/>
        </w:rPr>
      </w:pPr>
    </w:p>
    <w:p>
      <w:pPr>
        <w:ind w:right="140" w:firstLine="656"/>
        <w:spacing w:after="0" w:line="277" w:lineRule="auto"/>
        <w:tabs>
          <w:tab w:leader="none" w:pos="1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Unless and until an Event of Default specified in Section 7.01 with respect to the Securities of any series shall have happened which at the time is continuing,</w:t>
      </w:r>
    </w:p>
    <w:p>
      <w:pPr>
        <w:spacing w:after="0" w:line="170" w:lineRule="exact"/>
        <w:rPr>
          <w:rFonts w:ascii="Arial" w:cs="Arial" w:eastAsia="Arial" w:hAnsi="Arial"/>
          <w:sz w:val="18"/>
          <w:szCs w:val="18"/>
          <w:color w:val="auto"/>
        </w:rPr>
      </w:pPr>
    </w:p>
    <w:p>
      <w:pPr>
        <w:jc w:val="both"/>
        <w:ind w:left="660" w:right="200" w:firstLine="645"/>
        <w:spacing w:after="0" w:line="264" w:lineRule="auto"/>
        <w:tabs>
          <w:tab w:leader="none" w:pos="197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181" w:lineRule="exact"/>
        <w:rPr>
          <w:rFonts w:ascii="Arial" w:cs="Arial" w:eastAsia="Arial" w:hAnsi="Arial"/>
          <w:sz w:val="18"/>
          <w:szCs w:val="18"/>
          <w:color w:val="auto"/>
        </w:rPr>
      </w:pPr>
    </w:p>
    <w:p>
      <w:pPr>
        <w:ind w:left="660" w:right="200" w:firstLine="645"/>
        <w:spacing w:after="0" w:line="297" w:lineRule="auto"/>
        <w:tabs>
          <w:tab w:leader="none" w:pos="198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the Trustee may conclusively rely, as to the truth of the statements and the correctness of the opinions expressed therein, in the absence of bad faith on the part of the Trustee, upon certificates and opinions furnished to it pursuant to the express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58" w:lineRule="exact"/>
        <w:rPr>
          <w:rFonts w:ascii="Arial" w:cs="Arial" w:eastAsia="Arial" w:hAnsi="Arial"/>
          <w:sz w:val="16"/>
          <w:szCs w:val="16"/>
          <w:color w:val="auto"/>
        </w:rPr>
      </w:pPr>
    </w:p>
    <w:p>
      <w:pPr>
        <w:ind w:right="380" w:firstLine="656"/>
        <w:spacing w:after="0" w:line="308" w:lineRule="auto"/>
        <w:tabs>
          <w:tab w:leader="none" w:pos="130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146" w:lineRule="exact"/>
        <w:rPr>
          <w:rFonts w:ascii="Arial" w:cs="Arial" w:eastAsia="Arial" w:hAnsi="Arial"/>
          <w:sz w:val="17"/>
          <w:szCs w:val="17"/>
          <w:color w:val="auto"/>
        </w:rPr>
      </w:pPr>
    </w:p>
    <w:p>
      <w:pPr>
        <w:ind w:left="660" w:right="80" w:firstLine="645"/>
        <w:spacing w:after="0" w:line="308" w:lineRule="auto"/>
        <w:tabs>
          <w:tab w:leader="none" w:pos="197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Trustee shall not be liable to any Holder of Securities or to any other Person for any error of judgment made in good faith by a Responsible Officer of the Trustee, unless it shall be proved that the Trustee was negligent in ascertaining the pertinent facts;</w:t>
      </w:r>
    </w:p>
    <w:p>
      <w:pPr>
        <w:spacing w:after="0" w:line="146" w:lineRule="exact"/>
        <w:rPr>
          <w:rFonts w:ascii="Arial" w:cs="Arial" w:eastAsia="Arial" w:hAnsi="Arial"/>
          <w:sz w:val="17"/>
          <w:szCs w:val="17"/>
          <w:color w:val="auto"/>
        </w:rPr>
      </w:pPr>
    </w:p>
    <w:p>
      <w:pPr>
        <w:ind w:left="660" w:firstLine="645"/>
        <w:spacing w:after="0" w:line="286" w:lineRule="auto"/>
        <w:tabs>
          <w:tab w:leader="none" w:pos="198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ind w:left="660" w:firstLine="645"/>
        <w:spacing w:after="0" w:line="259" w:lineRule="auto"/>
        <w:tabs>
          <w:tab w:leader="none" w:pos="199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security, pre-funding and/or indemnity against such risk or liability is not reasonably assured to it;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this subsection (c) shall not be construed to limit the effect of subsection (b) of this Section 11.02.</w:t>
      </w:r>
    </w:p>
    <w:p>
      <w:pPr>
        <w:spacing w:after="0" w:line="225" w:lineRule="exact"/>
        <w:rPr>
          <w:rFonts w:ascii="Arial" w:cs="Arial" w:eastAsia="Arial" w:hAnsi="Arial"/>
          <w:sz w:val="18"/>
          <w:szCs w:val="18"/>
          <w:color w:val="auto"/>
        </w:rPr>
      </w:pPr>
    </w:p>
    <w:p>
      <w:pPr>
        <w:ind w:right="600" w:firstLine="656"/>
        <w:spacing w:after="0" w:line="277" w:lineRule="auto"/>
        <w:tabs>
          <w:tab w:leader="none" w:pos="1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Notice of Defaults</w:t>
      </w:r>
      <w:r>
        <w:rPr>
          <w:rFonts w:ascii="Arial" w:cs="Arial" w:eastAsia="Arial" w:hAnsi="Arial"/>
          <w:sz w:val="16"/>
          <w:szCs w:val="16"/>
          <w:color w:val="auto"/>
        </w:rPr>
        <w:t>. Within 90 calendar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(a) The Trustee shall at all times satisfy the requirements of Section 310(a) of the TIA. The Trustee shall have a combined capital and surplus of at least US$50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87" w:lineRule="exact"/>
        <w:rPr>
          <w:sz w:val="20"/>
          <w:szCs w:val="20"/>
          <w:color w:val="auto"/>
        </w:rPr>
      </w:pPr>
    </w:p>
    <w:p>
      <w:pPr>
        <w:ind w:right="100" w:firstLine="656"/>
        <w:spacing w:after="0" w:line="291" w:lineRule="auto"/>
        <w:tabs>
          <w:tab w:leader="none" w:pos="130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Trustee shall comply with Section 310(b) of the TIA;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the operation of Section 310(b)(i) of the TIA any indenture or indentures under which other securities or certificates of interest or participation in other securities of the Company are Outstanding if the requirements for such exclusion set forth in Section 310(b)(1) of the TIA are met. If the Trustee has or shall acquire a conflicting interest within the meaning of Section 310(b) of the TIA, the Trustee shall either eliminate such interest or resign, to the extent and in the manner provided by, and subject to the provisions of, the Trust Indenture Act and this Indenture. If Section 310(b) of the TIA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4" w:name="page105"/>
    <w:bookmarkEnd w:id="104"/>
    <w:p>
      <w:pPr>
        <w:ind w:right="120" w:firstLine="648"/>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Resignation and Notice; Removal</w:t>
      </w:r>
      <w:r>
        <w:rPr>
          <w:rFonts w:ascii="Arial" w:cs="Arial" w:eastAsia="Arial" w:hAnsi="Arial"/>
          <w:sz w:val="18"/>
          <w:szCs w:val="18"/>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right="20" w:firstLine="645"/>
        <w:spacing w:after="0" w:line="277" w:lineRule="auto"/>
        <w:tabs>
          <w:tab w:leader="none" w:pos="156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the provisions of Section 310(b) of the TIA after written request therefor by the Company or by any 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of a Security for at least six months, or</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56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under Section 11.04 and shall fail to resign after written request therefor by the Company or by any 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of a Security for at least six months, or</w:t>
      </w:r>
    </w:p>
    <w:p>
      <w:pPr>
        <w:spacing w:after="0" w:line="170" w:lineRule="exact"/>
        <w:rPr>
          <w:rFonts w:ascii="Arial" w:cs="Arial" w:eastAsia="Arial" w:hAnsi="Arial"/>
          <w:sz w:val="18"/>
          <w:szCs w:val="18"/>
          <w:color w:val="auto"/>
        </w:rPr>
      </w:pPr>
    </w:p>
    <w:p>
      <w:pPr>
        <w:ind w:left="660" w:right="60" w:firstLine="645"/>
        <w:spacing w:after="0" w:line="273" w:lineRule="auto"/>
        <w:tabs>
          <w:tab w:leader="none" w:pos="156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written notice to the Trustee may remove the Trustee and appoint a successor Trustee with respect to all Securities, or (ii) subject to Section 315(e) of the TIA, any Securityholder who has been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and its lien provided in Section 11.01(a) shall survive its resignation or removal, the satisfaction and discharge of this Indenture and the termination of this Indenture for any reason.</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Successor Trustee by Appointment</w:t>
      </w:r>
      <w:r>
        <w:rPr>
          <w:rFonts w:ascii="Arial" w:cs="Arial" w:eastAsia="Arial" w:hAnsi="Arial"/>
          <w:sz w:val="16"/>
          <w:szCs w:val="16"/>
          <w:color w:val="auto"/>
        </w:rPr>
        <w:t xml:space="preserve">. (a) In case at any time the Trustee shall resign, or shall be removed (unless the Trustee shall be removed as provided in Section 11.04(b), in which event the vacancy shall be filled as provided in Section 11.04(b)), or shall become incapable of acting, or shall be adjudged bankrupt or insolvent, or if a receiver of the Trustee or of its property shall be appointed, or if any public officer shall take charge or control of the Trustee or of its property or affairs for the purpose of rehabilitation, conservation or liquidation with respect to the Securities of one or more series,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series) may be appointed by the Holders of a majority in aggregate principal amount of the Securities of that or those series then Outstanding, by an instrument or instruments in writing signed in duplicate by such Holders and filed, one original thereof with the Company and the other with the successor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a successor Trustee shall have been so appointed by the Holders of Securities of that or those series as herein authorized, the Company, or, in case all or substantially all the assets of the Company shall be in the possession of one or more custodians or receivers lawfully appointed, or of trustees in bankruptcy or reorganization proceedings (including a trustee or trustees appointed under the provisions of the Bankruptcy Code), or of assignees for the benefit of creditors, such receivers, custodians, trustees or assignees, as the case may be, by an instrument in writing, shall appoint a successor Trustee with respect to the Securities of such series. Subject to the provisions of Sections 11.04 and 11.05, upon the appointment as above provided of a successor Trustee with respect to the Securities of any series, the Trustee with respect to the Securities of such series shall cease to be Trustee hereunder. After any such appointment other than by the Holders of Securities of that or those series, the Person making such appointment shall forthwith cause notice thereof to be mailed to the Holders of Securities of such series at their addresses as the same shall then appear on the Register but any successor Trustee with respect to the Securities of such series so appointed shall, immediately and without further act, be superseded by a successor Trustee appointed by the Holders of Securities of such series in the manner above prescribed, if such appointment be made prior to the expiration of one year from the date of the mailing of such notice by the Company, or by such receivers, trustees or assignees.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ind w:left="-20" w:right="100" w:firstLine="656"/>
        <w:spacing w:after="0" w:line="271" w:lineRule="auto"/>
        <w:tabs>
          <w:tab w:leader="none" w:pos="128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any Trustee with respect to the Securities of one or more series shall resign or be removed and a successor Trustee shall not have been appointed by the Company or by the Holders of the Securities of such series within 30 days of any notice of resignation or removal or, if any successor Trustee so appointed shall not have accepted its appointment within 30 calendar days after such appointment shall have been made, the resigning Trustee at the expense of the Company may appoint a successor Trustee or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178" w:lineRule="exact"/>
        <w:rPr>
          <w:rFonts w:ascii="Arial" w:cs="Arial" w:eastAsia="Arial" w:hAnsi="Arial"/>
          <w:sz w:val="17"/>
          <w:szCs w:val="17"/>
          <w:color w:val="auto"/>
        </w:rPr>
      </w:pPr>
    </w:p>
    <w:p>
      <w:pPr>
        <w:ind w:left="-20" w:firstLine="656"/>
        <w:spacing w:after="0" w:line="268" w:lineRule="auto"/>
        <w:tabs>
          <w:tab w:leader="none" w:pos="128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subject nevertheless to its lien provided for in Section 11.01(a). Nevertheless, on the written request of the Company or of the successor Trustee or of the Holders of at least 10% in aggregate principal amount of the Securities of such series then Outstanding, such predecessor Trustee, upon payment of its said charges and disbursements, shall execute and deliver an instrument transferring to such successor Trustee upon the trusts herein expressed all the rights, powers and trusts of such predecessor Trustee and shall assign, transfer and deliver to the successor Trustee all moneys and properties held by such predecessor Trustee, subject nevertheless to its lien provided for in Section 11.01(a); and, upon request of any such successor Trustee and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06" w:name="page107"/>
    <w:bookmarkEnd w:id="106"/>
    <w:p>
      <w:pPr>
        <w:ind w:firstLine="648"/>
        <w:spacing w:after="0" w:line="286"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Successor Trustee by Merger</w:t>
      </w:r>
      <w:r>
        <w:rPr>
          <w:rFonts w:ascii="Arial" w:cs="Arial" w:eastAsia="Arial" w:hAnsi="Arial"/>
          <w:sz w:val="16"/>
          <w:szCs w:val="16"/>
          <w:color w:val="auto"/>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with the same effect as if such successor Trustee had itself authenticated such Securities; and in case at that time any of the Securities shall not have been authenticated, any successor to such Trustee may authenticate such Securities either in the name of any predecessor Trustee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7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Right to Rely on Officers’ Certificate</w:t>
      </w:r>
      <w:r>
        <w:rPr>
          <w:rFonts w:ascii="Arial" w:cs="Arial" w:eastAsia="Arial" w:hAnsi="Arial"/>
          <w:sz w:val="18"/>
          <w:szCs w:val="18"/>
          <w:color w:val="auto"/>
        </w:rPr>
        <w:t>. Subject to Section 11.02, and subject to the provisions of Section 16.01 with respect to the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bad faith or willful misconduct on the part of the Trustee, be deemed to be conclusively proved and established by an Officers’ Certificate with respect thereto delivered to the Trustee, and such Officers’ Certificate, in the absence of negligence or willful misconduct on the part of the Trustee, shall be full warrant to the Trustee for any action taken, suffered or omitted by it under the provisions of this Indenture upon the faith thereof.</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 The Trustee may appoint an agent (the “Authenticating Agent”) reasonably acceptable to the Company to authenticate the Securities, and the Trustee shall give written notice of such appointment to all Holders of Securities of the series with respect to which such Authenticating Agent shall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ind w:firstLine="648"/>
        <w:spacing w:after="0" w:line="255" w:lineRule="auto"/>
        <w:rPr>
          <w:sz w:val="20"/>
          <w:szCs w:val="20"/>
          <w:color w:val="auto"/>
        </w:rPr>
      </w:pPr>
      <w:r>
        <w:rPr>
          <w:rFonts w:ascii="Arial" w:cs="Arial" w:eastAsia="Arial" w:hAnsi="Arial"/>
          <w:sz w:val="18"/>
          <w:szCs w:val="18"/>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US$50 million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8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Any Person into which an Authenticating Agent may be merged or converted or with which it may be consolidated, or any Person resulting from any merger, conversion or consolidation to which such Authenticating Agent shall be a party, or any Person succeeding to all or substantially all of the corporate agency or corporate trust business of an Authenticating Agent, shall continue to be an Authenticating Agent, provided such Person shall be otherwise eligible under this Article XI, without the execution or filing of any paper or any further act on the part of the Trustee or the Authenticating Agent.</w:t>
      </w:r>
    </w:p>
    <w:p>
      <w:pPr>
        <w:spacing w:after="0" w:line="1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shall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agrees to pay to each Authenticating Agent from time to time reasonable compensation for its services under this Section 11.09.</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Communications by Securityholders with Other Securityholders</w:t>
      </w:r>
      <w:r>
        <w:rPr>
          <w:rFonts w:ascii="Arial" w:cs="Arial" w:eastAsia="Arial" w:hAnsi="Arial"/>
          <w:sz w:val="18"/>
          <w:szCs w:val="18"/>
          <w:color w:val="auto"/>
        </w:rPr>
        <w:t>. Holders of Securities may communicate pursuant to</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Section 312(b) of the TIA with other Holders with respect to their rights under this Indenture or the Securities. The Company, the Trustee, the Registrar and anyone else shall have the protection of Section 312(c) of the TIA with respect to such communications.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SATISFACTION AND DISCHARGE; DEFEASANCE</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series of Securities except as otherwise specified pursuant to Section 3.01 for Securities of such series. Defeasance provisions, if any, for Securities denominated in a Foreign Currency may be specified pursuant to Section 3.01.</w:t>
      </w:r>
    </w:p>
    <w:p>
      <w:pPr>
        <w:spacing w:after="0" w:line="181"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(a) This Indenture, with respect to the Securities of any series (if all series issued under this Indenture are not to be affected), shall cease to be of further effect (except as to any surviving rights of registration of transfer or exchange of such Securities herein expressly provided for and rights to receive payments of principal of, premium, if any, and interest on, such Securities) when:</w:t>
      </w:r>
    </w:p>
    <w:p>
      <w:pPr>
        <w:spacing w:after="0" w:line="166" w:lineRule="exact"/>
        <w:rPr>
          <w:sz w:val="20"/>
          <w:szCs w:val="20"/>
          <w:color w:val="auto"/>
        </w:rPr>
      </w:pPr>
    </w:p>
    <w:p>
      <w:pPr>
        <w:ind w:left="1980" w:hanging="675"/>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180" w:firstLine="653"/>
        <w:spacing w:after="0" w:line="264" w:lineRule="auto"/>
        <w:tabs>
          <w:tab w:leader="none" w:pos="261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Securities of such series that have been authenticated, except (x) lost, stolen or destroyed Securities that have been replaced or paid and (y) Securities for whose payment money has been deposited in trust and thereafter repaid to the Company, have been delivered to the Trustee for cancellation; or</w:t>
      </w:r>
    </w:p>
    <w:p>
      <w:pPr>
        <w:spacing w:after="0" w:line="181" w:lineRule="exact"/>
        <w:rPr>
          <w:rFonts w:ascii="Arial" w:cs="Arial" w:eastAsia="Arial" w:hAnsi="Arial"/>
          <w:sz w:val="18"/>
          <w:szCs w:val="18"/>
          <w:color w:val="auto"/>
        </w:rPr>
      </w:pPr>
    </w:p>
    <w:p>
      <w:pPr>
        <w:ind w:left="1300" w:firstLine="653"/>
        <w:spacing w:after="0" w:line="287" w:lineRule="auto"/>
        <w:tabs>
          <w:tab w:leader="none" w:pos="260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all Securities of such series that have not been delivered to the Trustee for cancellation have become due and payable by reason of the mailing of a notice of redemption or otherwise or will become due and payable within one year and the Company has irrevocably deposited or caused to be deposited with the Trustee as trust funds in trust solely for the benefit of the Holders of such series of Securities, cash in U.S. Dollars, U.S. Government Obligation, or a combination of cash in U.S. Dollars and U.S. Government Obligation, in amounts as will be sufficient (in the case of a deposit not entirely in cash, in the opinion of an internationally recognized investment bank, appraisal firm or firm of independent public accountants), without consideration of any reinvestment of interest, to pay and discharge the entire Indebtedness on such Securities not delivered to the Trustee for cancellation for principal, premium, if any, and accrued interest to the Stated Maturity or Redemption Date,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 petition for relief under the Bankruptcy Code or any applicable state bankruptcy, insolvency or other similar law is filed with respect to the Company within 91 days after the deposit and the Trustee is required to return the moneys then on deposit with the Trustee to the Company, the obligations of the Company under this Indenture with respect to such Securities shall not be deemed terminated or discharged;</w:t>
      </w:r>
    </w:p>
    <w:p>
      <w:pPr>
        <w:spacing w:after="0" w:line="172" w:lineRule="exact"/>
        <w:rPr>
          <w:rFonts w:ascii="Arial" w:cs="Arial" w:eastAsia="Arial" w:hAnsi="Arial"/>
          <w:sz w:val="16"/>
          <w:szCs w:val="16"/>
          <w:color w:val="auto"/>
        </w:rPr>
      </w:pPr>
    </w:p>
    <w:p>
      <w:pPr>
        <w:jc w:val="both"/>
        <w:ind w:left="660" w:right="60" w:firstLine="645"/>
        <w:spacing w:after="0" w:line="312" w:lineRule="auto"/>
        <w:tabs>
          <w:tab w:leader="none" w:pos="19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Default or Event of Default under this Indenture has occurred and is continuing with respect to Securities of such series on the date of the deposit (other than a Default or Event of Default resulting from the borrowing of funds to be applied to such deposit) and the deposit will not result in a breach or violation of, or constitute a default under, any other instrument to which the Company is a party or by which it is bound;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8" w:name="page109"/>
    <w:bookmarkEnd w:id="108"/>
    <w:p>
      <w:pPr>
        <w:ind w:left="2000" w:hanging="695"/>
        <w:spacing w:after="0"/>
        <w:tabs>
          <w:tab w:leader="none" w:pos="2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has paid or caused to be paid all sums payable by it under this Indenture with respect to all Securities of such series;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right="240" w:firstLine="645"/>
        <w:spacing w:after="0" w:line="277" w:lineRule="auto"/>
        <w:tabs>
          <w:tab w:leader="none" w:pos="197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Securities of such series at the Stated Maturity or Redemption Date, as the case may be.</w:t>
      </w:r>
    </w:p>
    <w:p>
      <w:pPr>
        <w:spacing w:after="0" w:line="170" w:lineRule="exact"/>
        <w:rPr>
          <w:rFonts w:ascii="Arial" w:cs="Arial" w:eastAsia="Arial" w:hAnsi="Arial"/>
          <w:sz w:val="18"/>
          <w:szCs w:val="18"/>
          <w:color w:val="auto"/>
        </w:rPr>
      </w:pPr>
    </w:p>
    <w:p>
      <w:pPr>
        <w:ind w:right="340" w:firstLine="656"/>
        <w:spacing w:after="0" w:line="308" w:lineRule="auto"/>
        <w:tabs>
          <w:tab w:leader="none" w:pos="130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 must deliver an Officers’ Certificate and an Opinion of Counsel (which Opinion of Counsel may be subject to customary assumptions and exclusions) to the Trustee stating that all conditions precedent to satisfaction and discharge have been satisfied.</w:t>
      </w:r>
    </w:p>
    <w:p>
      <w:pPr>
        <w:spacing w:after="0" w:line="146" w:lineRule="exact"/>
        <w:rPr>
          <w:rFonts w:ascii="Arial" w:cs="Arial" w:eastAsia="Arial" w:hAnsi="Arial"/>
          <w:sz w:val="17"/>
          <w:szCs w:val="17"/>
          <w:color w:val="auto"/>
        </w:rPr>
      </w:pPr>
    </w:p>
    <w:p>
      <w:pPr>
        <w:ind w:right="80" w:firstLine="656"/>
        <w:spacing w:after="0" w:line="342" w:lineRule="auto"/>
        <w:tabs>
          <w:tab w:leader="none" w:pos="130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the satisfaction and discharge of this Indenture, if money shall have been deposited with the Trustee pursuant to subclause (A)(y) of clause (i) of Section 12.02(a), the obligations of the Trustee under Section 12.07 and Section 6.03(e) shall survive such satisfaction and discharge.</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Defeasance upon Deposit of Moneys or U.S. Government Obligations</w:t>
      </w:r>
      <w:r>
        <w:rPr>
          <w:rFonts w:ascii="Arial" w:cs="Arial" w:eastAsia="Arial" w:hAnsi="Arial"/>
          <w:sz w:val="18"/>
          <w:szCs w:val="18"/>
          <w:color w:val="auto"/>
        </w:rPr>
        <w:t>. (a) The Company may, at its option and at any time, elect to have either Section 12.03(b) or Section 12.03(c) applied to all Outstanding Securities of any series upon compliance with the conditions set forth below in this Section 12.03.</w:t>
      </w:r>
    </w:p>
    <w:p>
      <w:pPr>
        <w:spacing w:after="0" w:line="181" w:lineRule="exact"/>
        <w:rPr>
          <w:sz w:val="20"/>
          <w:szCs w:val="20"/>
          <w:color w:val="auto"/>
        </w:rPr>
      </w:pPr>
    </w:p>
    <w:p>
      <w:pPr>
        <w:ind w:right="80" w:firstLine="656"/>
        <w:spacing w:after="0" w:line="255"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the Company’s exercise under Section 12.03(a) of the option applicable to this Section 12.03(b), the Company shall, subject to the satisfaction of the conditions set forth in Section 12.03(d), be deemed to have been Discharged from its obligations with respect to all Outstanding Securities of such series on the date such conditions are satisfied (“</w:t>
      </w:r>
      <w:r>
        <w:rPr>
          <w:rFonts w:ascii="Arial" w:cs="Arial" w:eastAsia="Arial" w:hAnsi="Arial"/>
          <w:sz w:val="18"/>
          <w:szCs w:val="18"/>
          <w:u w:val="single" w:color="auto"/>
          <w:color w:val="auto"/>
        </w:rPr>
        <w:t>Legal Defeasance</w:t>
      </w:r>
      <w:r>
        <w:rPr>
          <w:rFonts w:ascii="Arial" w:cs="Arial" w:eastAsia="Arial" w:hAnsi="Arial"/>
          <w:sz w:val="18"/>
          <w:szCs w:val="18"/>
          <w:color w:val="auto"/>
        </w:rPr>
        <w:t>”). For this purpose, “</w:t>
      </w:r>
      <w:r>
        <w:rPr>
          <w:rFonts w:ascii="Arial" w:cs="Arial" w:eastAsia="Arial" w:hAnsi="Arial"/>
          <w:sz w:val="18"/>
          <w:szCs w:val="18"/>
          <w:u w:val="single" w:color="auto"/>
          <w:color w:val="auto"/>
        </w:rPr>
        <w:t>Legal Defeasance</w:t>
      </w:r>
      <w:r>
        <w:rPr>
          <w:rFonts w:ascii="Arial" w:cs="Arial" w:eastAsia="Arial" w:hAnsi="Arial"/>
          <w:sz w:val="18"/>
          <w:szCs w:val="18"/>
          <w:color w:val="auto"/>
        </w:rPr>
        <w:t>” means that the Company shall be deemed to have paid and Discharged the entire Indebtedness represented by the Securities of such series then Outstanding and to have satisfied all of its other obligations under the Securities of such series and this Indenture, except for the following provisions which shall survive until otherwise terminated or discharged hereunder:</w:t>
      </w:r>
    </w:p>
    <w:p>
      <w:pPr>
        <w:spacing w:after="0" w:line="193" w:lineRule="exact"/>
        <w:rPr>
          <w:rFonts w:ascii="Arial" w:cs="Arial" w:eastAsia="Arial" w:hAnsi="Arial"/>
          <w:sz w:val="18"/>
          <w:szCs w:val="18"/>
          <w:color w:val="auto"/>
        </w:rPr>
      </w:pPr>
    </w:p>
    <w:p>
      <w:pPr>
        <w:ind w:left="660" w:right="60" w:firstLine="645"/>
        <w:spacing w:after="0" w:line="277" w:lineRule="auto"/>
        <w:tabs>
          <w:tab w:leader="none" w:pos="197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rights of Holders of the Securities of such series then Outstanding to receive payments in respect of the principal of, or interest or premium on the Securities when such payments are due from the trust referred to in Section 12.03(d);</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8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Company’s obligations concerning issuing temporary Securities, registration of Securities, mutilated, destroyed, lost or stolen Securities and the maintenance of an office or agency for payment and money for security payments held in trust;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ind w:left="1960" w:hanging="655"/>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Section 12.03(b) and Section 12.03(c) with respect to the Securities of such series.</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Following the Company’s exercise of its Legal Defeasance option, payment of the Securities of such series may not be accelerated because of an Event of Default. Subject to compliance with this Article XII, the Company may exercise its option under this Section 12.03(b) notwithstanding the prior exercise of its option under Section 12.03(c).</w:t>
      </w:r>
    </w:p>
    <w:p>
      <w:pPr>
        <w:spacing w:after="0" w:line="181"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Discharged</w:t>
      </w:r>
      <w:r>
        <w:rPr>
          <w:rFonts w:ascii="Arial" w:cs="Arial" w:eastAsia="Arial" w:hAnsi="Arial"/>
          <w:sz w:val="18"/>
          <w:szCs w:val="18"/>
          <w:color w:val="auto"/>
        </w:rPr>
        <w:t>” means that the Company shall be deemed to have paid and discharged the entire Indebtedness represented by, and obligations under, the Securities of a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(i) of 12.03(d), payment of the principal of, premium, if any, or interest on such Securities when such payments are due, (B) the Company’s obligations with respect to Securities of such series under Sections 3.04, 3.06, 3.07, 6.02, 6.03, 12.06 and 12.07 and (C) the rights, powers, trusts, duties and immunities of the Trustee hereunder.</w:t>
      </w:r>
    </w:p>
    <w:p>
      <w:pPr>
        <w:spacing w:after="0" w:line="193" w:lineRule="exact"/>
        <w:rPr>
          <w:sz w:val="20"/>
          <w:szCs w:val="20"/>
          <w:color w:val="auto"/>
        </w:rPr>
      </w:pPr>
    </w:p>
    <w:p>
      <w:pPr>
        <w:ind w:firstLine="656"/>
        <w:spacing w:after="0" w:line="288" w:lineRule="auto"/>
        <w:tabs>
          <w:tab w:leader="none" w:pos="130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Upon the Company’s exercise under Section 12.03(a) of the option applicable to this Section 12.03(c), the Company shall, subject to the satisfaction of the conditions set forth in Section 12.03(d), be released from its obligations under the covenants contained in Section 6.04, Section 6.06 and as provided pursuant to Section 3.01(z), on and after the date the conditions set forth in Section 12.03(d) are satisfied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For this purpose,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means that, with respect to this Indenture and the Securities of such Series then Outstanding,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but, except as specified above, the remainder of this Indenture and the Securities shall be unaffected thereby. In addition, upon the Company’s exercise under Section 12.03(a) of the option applicable to this Section 12.03(c), subject to the satisfaction of the conditions set forth in Section 12.03(d), Sections 7.01(c), 7.01(d) (only with respect to covenants that are released as a result of such Covenant Defeasance), 7.01(e) and 7.01(f), in each case, shall not constitute Events of Default.</w:t>
      </w:r>
    </w:p>
    <w:p>
      <w:pPr>
        <w:spacing w:after="0" w:line="169" w:lineRule="exact"/>
        <w:rPr>
          <w:rFonts w:ascii="Arial" w:cs="Arial" w:eastAsia="Arial" w:hAnsi="Arial"/>
          <w:sz w:val="16"/>
          <w:szCs w:val="16"/>
          <w:color w:val="auto"/>
        </w:rPr>
      </w:pPr>
    </w:p>
    <w:p>
      <w:pPr>
        <w:ind w:right="680" w:firstLine="656"/>
        <w:spacing w:after="0" w:line="277" w:lineRule="auto"/>
        <w:tabs>
          <w:tab w:leader="none" w:pos="13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following shall be the conditions to the exercise of either the Legal Defeasance option under Section 12.03(b) or the Covenant Defeasance option under Section 12.03(c):</w:t>
      </w:r>
    </w:p>
    <w:p>
      <w:pPr>
        <w:spacing w:after="0" w:line="170" w:lineRule="exact"/>
        <w:rPr>
          <w:rFonts w:ascii="Arial" w:cs="Arial" w:eastAsia="Arial" w:hAnsi="Arial"/>
          <w:sz w:val="18"/>
          <w:szCs w:val="18"/>
          <w:color w:val="auto"/>
        </w:rPr>
      </w:pPr>
    </w:p>
    <w:p>
      <w:pPr>
        <w:ind w:left="660" w:right="140" w:firstLine="645"/>
        <w:spacing w:after="0" w:line="255" w:lineRule="auto"/>
        <w:tabs>
          <w:tab w:leader="none" w:pos="197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as trust funds, in trust, for the benefit of the Holders of all Securities subject to Legal Defeasance or Covenant Defeasance, cash in U.S. Dollars, U.S. Government Obligation, or a combination of cash in U.S. Dollars and U.S. Government Obligation, in amounts as will be sufficient, in the opinion of a nationally recognized investment bank, appraisal firm or firm of independent public accountants to pay the principal of, or interest and premium on such Securities that are then Outstanding on the Stated Maturity or Redemption Date, as the case may be, and the Company must specify whether such Securities are being defeased to maturity or to a particular Redemption 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0" w:name="page111"/>
    <w:bookmarkEnd w:id="110"/>
    <w:p>
      <w:pPr>
        <w:ind w:left="660" w:right="80" w:firstLine="645"/>
        <w:spacing w:after="0" w:line="293" w:lineRule="auto"/>
        <w:tabs>
          <w:tab w:leader="none" w:pos="198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case of Legal Defeasance, the Company must deliver to the Trustee an opinion of Independent Legal Counsel reasonably acceptable to the Trustee confirming that (A) the Company has received from, or there has been published by, the U.S. Internal Revenue Service a ruling or (B) since the date of this Indenture, there has been a change in the applicable federal income tax law, in either case to the effect that, and based thereon such opinion of Independent Legal Counsel will confirm that, the beneficial owners of the Securities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64" w:lineRule="exact"/>
        <w:rPr>
          <w:rFonts w:ascii="Arial" w:cs="Arial" w:eastAsia="Arial" w:hAnsi="Arial"/>
          <w:sz w:val="16"/>
          <w:szCs w:val="16"/>
          <w:color w:val="auto"/>
        </w:rPr>
      </w:pPr>
    </w:p>
    <w:p>
      <w:pPr>
        <w:ind w:left="660" w:right="140" w:firstLine="645"/>
        <w:spacing w:after="0" w:line="302" w:lineRule="auto"/>
        <w:tabs>
          <w:tab w:leader="none" w:pos="199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case of Covenant Defeasance, the Company must deliver to the Trustee an opinion of Independent Legal Counsel reasonably acceptable to the Trustee confirming that the beneficial owners of the Securities of such series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4" w:lineRule="exact"/>
        <w:rPr>
          <w:rFonts w:ascii="Arial" w:cs="Arial" w:eastAsia="Arial" w:hAnsi="Arial"/>
          <w:sz w:val="16"/>
          <w:szCs w:val="16"/>
          <w:color w:val="auto"/>
        </w:rPr>
      </w:pPr>
    </w:p>
    <w:p>
      <w:pPr>
        <w:ind w:left="660" w:right="60" w:firstLine="645"/>
        <w:spacing w:after="0" w:line="277" w:lineRule="auto"/>
        <w:tabs>
          <w:tab w:leader="none" w:pos="19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Default or Event of Default must have occurred and be continuing on the date of such deposit (other than a Default or Event of Default resulting from the borrowing of funds to be applied to such deposit);</w:t>
      </w:r>
    </w:p>
    <w:p>
      <w:pPr>
        <w:spacing w:after="0" w:line="170" w:lineRule="exact"/>
        <w:rPr>
          <w:rFonts w:ascii="Arial" w:cs="Arial" w:eastAsia="Arial" w:hAnsi="Arial"/>
          <w:sz w:val="18"/>
          <w:szCs w:val="18"/>
          <w:color w:val="auto"/>
        </w:rPr>
      </w:pPr>
    </w:p>
    <w:p>
      <w:pPr>
        <w:ind w:left="660" w:firstLine="645"/>
        <w:spacing w:after="0" w:line="264" w:lineRule="auto"/>
        <w:tabs>
          <w:tab w:leader="none" w:pos="19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it with the intent of preferring the Holders of Securities over the Company’s other creditors with the intent of defeating, hindering, delaying or defrauding its creditors or others; and</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19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Independent Legal Counsel, each stating that all conditions precedent relating to the Legal Defeasance or the Covenant Defeasance have been complied with.</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u w:val="single" w:color="auto"/>
          <w:color w:val="auto"/>
        </w:rPr>
        <w:t>Repayment to Company</w:t>
      </w:r>
      <w:r>
        <w:rPr>
          <w:rFonts w:ascii="Arial" w:cs="Arial" w:eastAsia="Arial" w:hAnsi="Arial"/>
          <w:sz w:val="16"/>
          <w:szCs w:val="16"/>
          <w:color w:val="auto"/>
        </w:rPr>
        <w:t>. The Trustee and any Paying Agent shall promptly pay to the Company (or to its designee) upon Company Order any excess moneys or U.S. Government Obligations held by them at any time, including any such moneys or U.S. Government Obligations held by the Trustee under any escrow trust agreement entered into pursuant to Section 12.06. The provisions of the last paragraph of Section 6.03 shall apply to any moneys or U.S. Government Obligations held by the Trustee or any Paying Agent under this Article that remains unclaimed for two years after the Maturity of any series of Securities for which moneys or U.S. Government Obligations have been deposited pursuant to Section 12.03.</w:t>
      </w:r>
    </w:p>
    <w:p>
      <w:pPr>
        <w:spacing w:after="0" w:line="15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Indemnity for U.S. Government Obligations</w:t>
      </w:r>
      <w:r>
        <w:rPr>
          <w:rFonts w:ascii="Arial" w:cs="Arial" w:eastAsia="Arial" w:hAnsi="Arial"/>
          <w:sz w:val="16"/>
          <w:szCs w:val="16"/>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1" w:name="page112"/>
    <w:bookmarkEnd w:id="111"/>
    <w:p>
      <w:pPr>
        <w:ind w:firstLine="648"/>
        <w:spacing w:after="0" w:line="290" w:lineRule="auto"/>
        <w:rPr>
          <w:sz w:val="20"/>
          <w:szCs w:val="20"/>
          <w:color w:val="auto"/>
        </w:rPr>
      </w:pPr>
      <w:r>
        <w:rPr>
          <w:rFonts w:ascii="Arial" w:cs="Arial" w:eastAsia="Arial" w:hAnsi="Arial"/>
          <w:sz w:val="16"/>
          <w:szCs w:val="16"/>
          <w:color w:val="auto"/>
        </w:rPr>
        <w:t xml:space="preserve">Section 12.06 </w:t>
      </w:r>
      <w:r>
        <w:rPr>
          <w:rFonts w:ascii="Arial" w:cs="Arial" w:eastAsia="Arial" w:hAnsi="Arial"/>
          <w:sz w:val="16"/>
          <w:szCs w:val="16"/>
          <w:u w:val="single" w:color="auto"/>
          <w:color w:val="auto"/>
        </w:rPr>
        <w:t>Deposits to Be Held in Escrow</w:t>
      </w:r>
      <w:r>
        <w:rPr>
          <w:rFonts w:ascii="Arial" w:cs="Arial" w:eastAsia="Arial" w:hAnsi="Arial"/>
          <w:sz w:val="16"/>
          <w:szCs w:val="16"/>
          <w:color w:val="auto"/>
        </w:rPr>
        <w:t>. Any deposits with the Trustee referred to in Section 12.03 above shall be irrevocable (except to the extent provided in Sections 12.04 and 12.07) and shall be made under the terms of an escrow trust agreement. As contemplated under this Article 12,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 The agreement shall provide that, upon satisfaction of any Mandatory Sinking Fund Payment requirements, whether by deposit of moneys, application of proceeds of deposited U.S. Government Obligations or, if permitted, by delivery of Securities, the Trustee shall pay or deliver over to the Company as excess moneys pursuant to Section 12.04 all funds or obligations then held under the agreement and allocable to the sinking fund payment requirements so satisfied.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Securities of a series with respect to which such deposits are made may be subject to later redemption at the option of the Company or pursuant to Optional Sinking Fund Payments, the applicable escrow trust agreement may, at the option of the Company, provide therefor. In the case of an optional redemption in whole or in part, such agreement shall require the Company to deposit with the Trustee on or before the date notice of redemption is given funds sufficient to pay the Redemption Price of the Securities to be redeemed together with all unpaid interest thereon to the Redemption Date. Upon such deposit of funds, the Trustee shall pay or deliver over to the Company as excess funds pursuant to Section 12.04 all funds or obligations then held under such agreement and allocable to the Securities to be redeemed. In the case of exercise of Optional Sinking Fund Payment rights by the Company, such agreement shall, at the option of the Company, provide that upon deposit by the Company with the Trustee of funds pursuant to such exercise the Trustee shall pay or deliver over to the Company as excess funds pursuant to Section 12.04 all funds or obligations then held under such agreement for such series and allocable to the Securities to be redeemed.</w:t>
      </w:r>
    </w:p>
    <w:p>
      <w:pPr>
        <w:spacing w:after="0" w:line="18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(a) Neither the Trustee nor any other paying agent shall be required to pay interest on any moneys deposited pursuant to the provisions of this Indenture, except such as it shall agree with the Company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applied as provided in Section 6.03(e).</w:t>
      </w:r>
    </w:p>
    <w:p>
      <w:pPr>
        <w:spacing w:after="0" w:line="188" w:lineRule="exact"/>
        <w:rPr>
          <w:sz w:val="20"/>
          <w:szCs w:val="20"/>
          <w:color w:val="auto"/>
        </w:rPr>
      </w:pPr>
    </w:p>
    <w:p>
      <w:pPr>
        <w:ind w:right="40" w:firstLine="656"/>
        <w:spacing w:after="0" w:line="276" w:lineRule="auto"/>
        <w:tabs>
          <w:tab w:leader="none" w:pos="130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Subject to the provisions of clause (a) above, any moneys or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or U.S. Government Obligations shall have been deposited;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moneys or U.S. Government Obligations need not be segregated from other funds except to the extent required by law.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ind w:right="20" w:firstLine="648"/>
        <w:spacing w:after="0" w:line="259"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Deposits of Non-U.S. Currencies</w:t>
      </w:r>
      <w:r>
        <w:rPr>
          <w:rFonts w:ascii="Arial" w:cs="Arial" w:eastAsia="Arial" w:hAnsi="Arial"/>
          <w:sz w:val="18"/>
          <w:szCs w:val="18"/>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the Officers’ Certificate or established in the supplemental indenture under which the Securities of such series are issued.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IMMUNITY OF CERTAIN PERSONS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No Personal Liability</w:t>
      </w:r>
      <w:r>
        <w:rPr>
          <w:rFonts w:ascii="Arial" w:cs="Arial" w:eastAsia="Arial" w:hAnsi="Arial"/>
          <w:sz w:val="17"/>
          <w:szCs w:val="17"/>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thereto, either directly or through the Company or any successor thereto,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thereto,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Without Consent of Securityholders</w:t>
      </w:r>
      <w:r>
        <w:rPr>
          <w:rFonts w:ascii="Arial" w:cs="Arial" w:eastAsia="Arial" w:hAnsi="Arial"/>
          <w:sz w:val="18"/>
          <w:szCs w:val="18"/>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181" w:lineRule="exact"/>
        <w:rPr>
          <w:sz w:val="20"/>
          <w:szCs w:val="20"/>
          <w:color w:val="auto"/>
        </w:rPr>
      </w:pPr>
    </w:p>
    <w:p>
      <w:pPr>
        <w:ind w:left="660" w:right="260" w:firstLine="645"/>
        <w:spacing w:after="0" w:line="277" w:lineRule="auto"/>
        <w:tabs>
          <w:tab w:leader="none" w:pos="19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to cure any ambiguity, omission, defect or inconsistency contained herein or in any supplemental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amendment does not materially and adversely affect the rights of Holders;</w:t>
      </w:r>
    </w:p>
    <w:p>
      <w:pPr>
        <w:spacing w:after="0" w:line="170" w:lineRule="exact"/>
        <w:rPr>
          <w:rFonts w:ascii="Arial" w:cs="Arial" w:eastAsia="Arial" w:hAnsi="Arial"/>
          <w:sz w:val="18"/>
          <w:szCs w:val="18"/>
          <w:color w:val="auto"/>
        </w:rPr>
      </w:pPr>
    </w:p>
    <w:p>
      <w:pPr>
        <w:ind w:left="660" w:right="680" w:firstLine="645"/>
        <w:spacing w:after="0" w:line="264" w:lineRule="auto"/>
        <w:tabs>
          <w:tab w:leader="none" w:pos="196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by such successor of the covenants and obligations of the Company contained in the Securities of one or more series and in this Indenture or any supplemental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3" w:name="page114"/>
    <w:bookmarkEnd w:id="113"/>
    <w:p>
      <w:pPr>
        <w:ind w:left="760" w:hanging="655"/>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comply with the rules of any applicable Depositary;</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225" w:lineRule="exact"/>
        <w:rPr>
          <w:rFonts w:ascii="Arial" w:cs="Arial" w:eastAsia="Arial" w:hAnsi="Arial"/>
          <w:sz w:val="18"/>
          <w:szCs w:val="18"/>
          <w:color w:val="auto"/>
        </w:rPr>
      </w:pPr>
    </w:p>
    <w:p>
      <w:pPr>
        <w:ind w:left="-540" w:firstLine="645"/>
        <w:spacing w:after="0" w:line="257" w:lineRule="auto"/>
        <w:tabs>
          <w:tab w:leader="none" w:pos="76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188" w:lineRule="exact"/>
        <w:rPr>
          <w:rFonts w:ascii="Arial" w:cs="Arial" w:eastAsia="Arial" w:hAnsi="Arial"/>
          <w:sz w:val="18"/>
          <w:szCs w:val="18"/>
          <w:color w:val="auto"/>
        </w:rPr>
      </w:pPr>
    </w:p>
    <w:p>
      <w:pPr>
        <w:ind w:left="-540" w:right="120" w:firstLine="645"/>
        <w:spacing w:after="0" w:line="277" w:lineRule="auto"/>
        <w:tabs>
          <w:tab w:leader="none" w:pos="76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make any change in any series of Securities that does not adversely affect the legal rights under this Indenture of any Holder of such Securities in any material respect;</w:t>
      </w:r>
    </w:p>
    <w:p>
      <w:pPr>
        <w:spacing w:after="0" w:line="170" w:lineRule="exact"/>
        <w:rPr>
          <w:rFonts w:ascii="Arial" w:cs="Arial" w:eastAsia="Arial" w:hAnsi="Arial"/>
          <w:sz w:val="18"/>
          <w:szCs w:val="18"/>
          <w:color w:val="auto"/>
        </w:rPr>
      </w:pPr>
    </w:p>
    <w:p>
      <w:pPr>
        <w:ind w:left="-540" w:right="560" w:firstLine="645"/>
        <w:spacing w:after="0" w:line="277" w:lineRule="auto"/>
        <w:tabs>
          <w:tab w:leader="none" w:pos="77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to evidence and provide for the acceptance of an appointment under this Indenture of a successor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successor Trustee is otherwise qualified and eligible to act as such under the terms hereof;</w:t>
      </w:r>
    </w:p>
    <w:p>
      <w:pPr>
        <w:spacing w:after="0" w:line="170" w:lineRule="exact"/>
        <w:rPr>
          <w:rFonts w:ascii="Arial" w:cs="Arial" w:eastAsia="Arial" w:hAnsi="Arial"/>
          <w:sz w:val="18"/>
          <w:szCs w:val="18"/>
          <w:color w:val="auto"/>
        </w:rPr>
      </w:pPr>
    </w:p>
    <w:p>
      <w:pPr>
        <w:ind w:left="-540" w:right="300" w:firstLine="645"/>
        <w:spacing w:after="0" w:line="264" w:lineRule="auto"/>
        <w:tabs>
          <w:tab w:leader="none" w:pos="7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conform the text of this Indenture or any series of the Securities to any provision of the section entitled “Description of Debt Securities” in the Prospectus to the extent that such provision in the Prospectus was intended to be a verbatim recitation of a provision of this Indenture or such series of the Securities as evidenced by an Officers’ Certificate;</w:t>
      </w:r>
    </w:p>
    <w:p>
      <w:pPr>
        <w:spacing w:after="0" w:line="181" w:lineRule="exact"/>
        <w:rPr>
          <w:rFonts w:ascii="Arial" w:cs="Arial" w:eastAsia="Arial" w:hAnsi="Arial"/>
          <w:sz w:val="18"/>
          <w:szCs w:val="18"/>
          <w:color w:val="auto"/>
        </w:rPr>
      </w:pPr>
    </w:p>
    <w:p>
      <w:pPr>
        <w:ind w:left="-540" w:right="80" w:firstLine="645"/>
        <w:spacing w:after="0" w:line="276" w:lineRule="auto"/>
        <w:tabs>
          <w:tab w:leader="none" w:pos="77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to make any amendment to the provisions of this Indenture relating to the transfer and legending of Securities as permitted by this Indenture, including, but not limited to, facilitating the issuance and administration of any series of the Securities or, if incurred in compliance with this Indenture, additional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compliance with this Indenture as so amended would not result in any series of the Securities being transferred in violation of the U.S. Securities Act of 1933, as amended, or any applicable securities law and (ii) such amendment does not materially and adversely affect the rights of Holders to transfer Securities;</w:t>
      </w:r>
    </w:p>
    <w:p>
      <w:pPr>
        <w:spacing w:after="0" w:line="172" w:lineRule="exact"/>
        <w:rPr>
          <w:rFonts w:ascii="Arial" w:cs="Arial" w:eastAsia="Arial" w:hAnsi="Arial"/>
          <w:sz w:val="17"/>
          <w:szCs w:val="17"/>
          <w:color w:val="auto"/>
        </w:rPr>
      </w:pPr>
    </w:p>
    <w:p>
      <w:pPr>
        <w:ind w:left="-540" w:right="40" w:firstLine="645"/>
        <w:spacing w:after="0" w:line="264" w:lineRule="auto"/>
        <w:tabs>
          <w:tab w:leader="none" w:pos="7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81" w:lineRule="exact"/>
        <w:rPr>
          <w:rFonts w:ascii="Arial" w:cs="Arial" w:eastAsia="Arial" w:hAnsi="Arial"/>
          <w:sz w:val="18"/>
          <w:szCs w:val="18"/>
          <w:color w:val="auto"/>
        </w:rPr>
      </w:pPr>
    </w:p>
    <w:p>
      <w:pPr>
        <w:ind w:left="760" w:hanging="655"/>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make any amendment to this Indenture necessary to qualify this Indenture under the Trust Indenture Act;</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14" w:name="page115"/>
    <w:bookmarkEnd w:id="114"/>
    <w:p>
      <w:pPr>
        <w:ind w:left="1980" w:hanging="675"/>
        <w:spacing w:after="0"/>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 and</w:t>
      </w:r>
    </w:p>
    <w:p>
      <w:pPr>
        <w:spacing w:after="0" w:line="225" w:lineRule="exact"/>
        <w:rPr>
          <w:rFonts w:ascii="Arial" w:cs="Arial" w:eastAsia="Arial" w:hAnsi="Arial"/>
          <w:sz w:val="18"/>
          <w:szCs w:val="18"/>
          <w:color w:val="auto"/>
        </w:rPr>
      </w:pPr>
    </w:p>
    <w:p>
      <w:pPr>
        <w:ind w:left="660" w:firstLine="645"/>
        <w:spacing w:after="0" w:line="259" w:lineRule="auto"/>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establish the form and terms of Securities of any series as permitted in Section 3.01, or to provide for the issuance of additional Securities in accordance with the limitations set forth in this Indenture,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87" w:lineRule="exact"/>
        <w:rPr>
          <w:sz w:val="20"/>
          <w:szCs w:val="20"/>
          <w:color w:val="auto"/>
        </w:rPr>
      </w:pPr>
    </w:p>
    <w:p>
      <w:pPr>
        <w:ind w:left="660" w:right="160" w:firstLine="648"/>
        <w:spacing w:after="0" w:line="264" w:lineRule="auto"/>
        <w:rPr>
          <w:sz w:val="20"/>
          <w:szCs w:val="20"/>
          <w:color w:val="auto"/>
        </w:rPr>
      </w:pPr>
      <w:r>
        <w:rPr>
          <w:rFonts w:ascii="Arial" w:cs="Arial" w:eastAsia="Arial" w:hAnsi="Arial"/>
          <w:sz w:val="18"/>
          <w:szCs w:val="18"/>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81" w:lineRule="exact"/>
        <w:rPr>
          <w:sz w:val="20"/>
          <w:szCs w:val="20"/>
          <w:color w:val="auto"/>
        </w:rPr>
      </w:pPr>
    </w:p>
    <w:p>
      <w:pPr>
        <w:ind w:left="660" w:right="100" w:firstLine="648"/>
        <w:spacing w:after="0" w:line="308" w:lineRule="auto"/>
        <w:rPr>
          <w:sz w:val="20"/>
          <w:szCs w:val="20"/>
          <w:color w:val="auto"/>
        </w:rPr>
      </w:pPr>
      <w:r>
        <w:rPr>
          <w:rFonts w:ascii="Arial" w:cs="Arial" w:eastAsia="Arial" w:hAnsi="Arial"/>
          <w:sz w:val="17"/>
          <w:szCs w:val="17"/>
          <w:color w:val="auto"/>
        </w:rPr>
        <w:t>Any supplemental indenture authorized by the provisions of this Section 14.01 may be executed by the Company and the Trustee without the consent of the Holders of any of the Securities at the time Outstanding, notwithstanding any of the provisions of Section 14.02.</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With Consent of Securityholders; Limitations</w:t>
      </w:r>
      <w:r>
        <w:rPr>
          <w:rFonts w:ascii="Arial" w:cs="Arial" w:eastAsia="Arial" w:hAnsi="Arial"/>
          <w:sz w:val="18"/>
          <w:szCs w:val="18"/>
          <w:color w:val="auto"/>
        </w:rPr>
        <w:t xml:space="preserve">. (a) 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indentures supplemental hereto for the purpose of adding any provisions to or changing in any manner or eliminating any provisions of this Indenture or of modifying in any manner the rights of the Holders of the Securities of such series to be affected;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of each such series affected thereby,</w:t>
      </w:r>
    </w:p>
    <w:p>
      <w:pPr>
        <w:spacing w:after="0" w:line="193" w:lineRule="exact"/>
        <w:rPr>
          <w:sz w:val="20"/>
          <w:szCs w:val="20"/>
          <w:color w:val="auto"/>
        </w:rPr>
      </w:pPr>
    </w:p>
    <w:p>
      <w:pPr>
        <w:ind w:left="1980" w:hanging="675"/>
        <w:spacing w:after="0"/>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 the Stated Maturity of the principal of and premium, if any, or any installment of interest on any Security;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principal amount of, payments of interest on or stated time for payment of interest on any Security;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 any obligation of the Company to pay Additional Amounts with respect to any Security;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change the Currency in which the principal of and premium, if any, or interest on such Security is denominated or payable;</w:t>
      </w:r>
    </w:p>
    <w:p>
      <w:pPr>
        <w:spacing w:after="0" w:line="236" w:lineRule="exact"/>
        <w:rPr>
          <w:rFonts w:ascii="Arial" w:cs="Arial" w:eastAsia="Arial" w:hAnsi="Arial"/>
          <w:sz w:val="17"/>
          <w:szCs w:val="17"/>
          <w:color w:val="auto"/>
        </w:rPr>
      </w:pPr>
    </w:p>
    <w:p>
      <w:pPr>
        <w:ind w:left="660" w:right="240" w:firstLine="645"/>
        <w:spacing w:after="0" w:line="277" w:lineRule="auto"/>
        <w:tabs>
          <w:tab w:leader="none" w:pos="19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amount of the principal of an Original Issue Discount Security that would be due and payable upon a declaration of acceleration of the Maturity thereof pursuant to Section 7.02;</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15" w:name="page116"/>
    <w:bookmarkEnd w:id="115"/>
    <w:p>
      <w:pPr>
        <w:ind w:left="1960" w:hanging="655"/>
        <w:spacing w:after="0"/>
        <w:tabs>
          <w:tab w:leader="none" w:pos="19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with respect to any Security;</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8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supplemental indenture;</w:t>
      </w:r>
    </w:p>
    <w:p>
      <w:pPr>
        <w:spacing w:after="0" w:line="170" w:lineRule="exact"/>
        <w:rPr>
          <w:rFonts w:ascii="Arial" w:cs="Arial" w:eastAsia="Arial" w:hAnsi="Arial"/>
          <w:sz w:val="18"/>
          <w:szCs w:val="18"/>
          <w:color w:val="auto"/>
        </w:rPr>
      </w:pPr>
    </w:p>
    <w:p>
      <w:pPr>
        <w:ind w:left="660" w:firstLine="645"/>
        <w:spacing w:after="0" w:line="264" w:lineRule="auto"/>
        <w:tabs>
          <w:tab w:leader="none" w:pos="19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waiver of compliance with certain provisions of this Indenture or certain Defaults hereunder and their consequences provided for in this Indenture;</w:t>
      </w:r>
    </w:p>
    <w:p>
      <w:pPr>
        <w:spacing w:after="0" w:line="181" w:lineRule="exact"/>
        <w:rPr>
          <w:rFonts w:ascii="Arial" w:cs="Arial" w:eastAsia="Arial" w:hAnsi="Arial"/>
          <w:sz w:val="18"/>
          <w:szCs w:val="18"/>
          <w:color w:val="auto"/>
        </w:rPr>
      </w:pPr>
    </w:p>
    <w:p>
      <w:pPr>
        <w:ind w:left="660" w:right="100" w:firstLine="645"/>
        <w:spacing w:after="0" w:line="257" w:lineRule="auto"/>
        <w:tabs>
          <w:tab w:leader="none" w:pos="197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14.02, Section 7.06 or Section 6.08,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w:t>
      </w:r>
      <w:r>
        <w:rPr>
          <w:rFonts w:ascii="Arial" w:cs="Arial" w:eastAsia="Arial" w:hAnsi="Arial"/>
          <w:sz w:val="18"/>
          <w:szCs w:val="18"/>
          <w:u w:val="single" w:color="auto"/>
          <w:color w:val="auto"/>
        </w:rPr>
        <w:t>Trustee</w:t>
      </w:r>
      <w:r>
        <w:rPr>
          <w:rFonts w:ascii="Arial" w:cs="Arial" w:eastAsia="Arial" w:hAnsi="Arial"/>
          <w:sz w:val="18"/>
          <w:szCs w:val="18"/>
          <w:color w:val="auto"/>
        </w:rPr>
        <w:t>” and concomitant changes in this Section 14.02 and Section 6.08, or the deletion of this proviso, in accordance with the requirements of Sections 11.06 and 14.01(g);</w:t>
      </w:r>
    </w:p>
    <w:p>
      <w:pPr>
        <w:spacing w:after="0" w:line="188"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amend, change or modify any provision of this Indenture or the related definition affecting the ranking of any series of Securities in a manner which adversely affects the Holders of such Securities; or</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197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reduce the amount of the premium payable upon the redemption or repurchase of any Security or change the time at which any Security may be redeemed or repurchased as described in Section 4.07 or as provided pursuant to Section 3.01, whether through an amendment or waiver of provisions in the covenants, definitions or otherwise.</w:t>
      </w:r>
    </w:p>
    <w:p>
      <w:pPr>
        <w:spacing w:after="0" w:line="181" w:lineRule="exact"/>
        <w:rPr>
          <w:rFonts w:ascii="Arial" w:cs="Arial" w:eastAsia="Arial" w:hAnsi="Arial"/>
          <w:sz w:val="18"/>
          <w:szCs w:val="18"/>
          <w:color w:val="auto"/>
        </w:rPr>
      </w:pPr>
    </w:p>
    <w:p>
      <w:pPr>
        <w:ind w:right="160" w:firstLine="656"/>
        <w:spacing w:after="0" w:line="286" w:lineRule="auto"/>
        <w:tabs>
          <w:tab w:leader="none" w:pos="130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5" w:lineRule="exact"/>
        <w:rPr>
          <w:rFonts w:ascii="Arial" w:cs="Arial" w:eastAsia="Arial" w:hAnsi="Arial"/>
          <w:sz w:val="17"/>
          <w:szCs w:val="17"/>
          <w:color w:val="auto"/>
        </w:rPr>
      </w:pPr>
    </w:p>
    <w:p>
      <w:pPr>
        <w:ind w:right="400" w:firstLine="656"/>
        <w:spacing w:after="0" w:line="277" w:lineRule="auto"/>
        <w:tabs>
          <w:tab w:leader="none" w:pos="13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70" w:lineRule="exact"/>
        <w:rPr>
          <w:rFonts w:ascii="Arial" w:cs="Arial" w:eastAsia="Arial" w:hAnsi="Arial"/>
          <w:sz w:val="18"/>
          <w:szCs w:val="18"/>
          <w:color w:val="auto"/>
        </w:rPr>
      </w:pPr>
    </w:p>
    <w:p>
      <w:pPr>
        <w:ind w:right="300" w:firstLine="656"/>
        <w:spacing w:after="0" w:line="308" w:lineRule="auto"/>
        <w:tabs>
          <w:tab w:leader="none" w:pos="130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 may set a record date pursuant to Section 8.02(e) for purposes of determining the identity of the Holders of each series of Securities entitled to give a written consent or waive compliance by the Company as authorized or permitted by this Section 14.02.</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Promptly after the execution by the Company and the Trustee of any supplemental indenture pursuant to the provisions of this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14.02, the Company shall mail a notice, setting forth in general terms the substance of such supplemental indenture, to the Holders of Securities at their addresses as the same shall then appear in the Register. Any failure of the Company to mail such notice, or any defect therein, shall not, however, in any way impair or affect the validity of any such supplemental indenture.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6" w:name="page117"/>
    <w:bookmarkEnd w:id="116"/>
    <w:p>
      <w:pPr>
        <w:ind w:right="40" w:firstLine="648"/>
        <w:spacing w:after="0" w:line="293"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Trustee Protected</w:t>
      </w:r>
      <w:r>
        <w:rPr>
          <w:rFonts w:ascii="Arial" w:cs="Arial" w:eastAsia="Arial" w:hAnsi="Arial"/>
          <w:sz w:val="16"/>
          <w:szCs w:val="16"/>
          <w:color w:val="auto"/>
        </w:rPr>
        <w:t>. Upon the request of the Company, accompanied by the Officers’ Certificate and Opinion of Counsel required by Section 16.01 stating that the execution of such supplemental indenture to be entered into pursuant to Section 14.01 or Section 14.02 is authorized or permitted by this Indenture,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Effect of Execution of Supplemental Indenture</w:t>
      </w:r>
      <w:r>
        <w:rPr>
          <w:rFonts w:ascii="Arial" w:cs="Arial" w:eastAsia="Arial" w:hAnsi="Arial"/>
          <w:sz w:val="18"/>
          <w:szCs w:val="18"/>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9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 Securities of any series authenticated and delivered after the execution of any supplemental indenture pursuant to the provisions of this Article may bear a notation as to any matter provided for in such supplemental indenture. If the Company or the Trustee shall so determine, new Securities so modified as to conform, in the opinion of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93"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Conformity with TIA</w:t>
      </w:r>
      <w:r>
        <w:rPr>
          <w:rFonts w:ascii="Arial" w:cs="Arial" w:eastAsia="Arial" w:hAnsi="Arial"/>
          <w:sz w:val="18"/>
          <w:szCs w:val="18"/>
          <w:color w:val="auto"/>
        </w:rPr>
        <w:t>. Every supplemental indenture executed pursuant to the provisions of this Article shall conform to the requirements of the Trust Indenture Act as then in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u w:val="single" w:color="auto"/>
          <w:color w:val="auto"/>
        </w:rPr>
        <w:t>Agreement to Subordinate</w:t>
      </w:r>
      <w:r>
        <w:rPr>
          <w:rFonts w:ascii="Arial" w:cs="Arial" w:eastAsia="Arial" w:hAnsi="Arial"/>
          <w:sz w:val="16"/>
          <w:szCs w:val="16"/>
          <w:color w:val="auto"/>
        </w:rPr>
        <w:t>. In the event a series of Securities is designated as subordinated pursuant to Section 3.01, and except as otherwise provided in a Company Order, Officers’ Certificate or in one or more indentures supplemental hereto, the Company, for itself, its successors and assigns, covenants and agrees, and each Holder of Securities of such series by his, her or its acceptance thereof, likewise covenants and agrees, that the payment of the principal of, premium, if any, or interest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3.01(r), this Article XV shall have no effect upon such series of Securities.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Distribution on Dissolution, Liquidation and Reorganization; Subrogation of Securities</w:t>
      </w:r>
      <w:r>
        <w:rPr>
          <w:rFonts w:ascii="Arial" w:cs="Arial" w:eastAsia="Arial" w:hAnsi="Arial"/>
          <w:sz w:val="18"/>
          <w:szCs w:val="18"/>
          <w:color w:val="auto"/>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the Bankruptcy Code or any applicable state bankruptcy laws):</w:t>
      </w:r>
    </w:p>
    <w:p>
      <w:pPr>
        <w:spacing w:after="0" w:line="193" w:lineRule="exact"/>
        <w:rPr>
          <w:sz w:val="20"/>
          <w:szCs w:val="20"/>
          <w:color w:val="auto"/>
        </w:rPr>
      </w:pPr>
    </w:p>
    <w:p>
      <w:pPr>
        <w:ind w:left="660" w:right="220" w:firstLine="645"/>
        <w:spacing w:after="0" w:line="264" w:lineRule="auto"/>
        <w:tabs>
          <w:tab w:leader="none" w:pos="200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premium, if any, or interest thereon before the Holders of the Securities are entitled to receive any payment upon the principal of, premium, if any, or interest on Indebtedness evidenced by the Securities; and</w:t>
      </w:r>
    </w:p>
    <w:p>
      <w:pPr>
        <w:spacing w:after="0" w:line="181" w:lineRule="exact"/>
        <w:rPr>
          <w:rFonts w:ascii="Arial" w:cs="Arial" w:eastAsia="Arial" w:hAnsi="Arial"/>
          <w:sz w:val="18"/>
          <w:szCs w:val="18"/>
          <w:color w:val="auto"/>
        </w:rPr>
      </w:pPr>
    </w:p>
    <w:p>
      <w:pPr>
        <w:ind w:left="660" w:right="140" w:firstLine="645"/>
        <w:spacing w:after="0" w:line="290" w:lineRule="auto"/>
        <w:tabs>
          <w:tab w:leader="none" w:pos="201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to which the Holders of the Securities or the Trustee would be entitled except for the provisions of this Article XV in respect of the principal of, premium, if any, or interest, on the Securities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premium, if any, or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66" w:lineRule="exact"/>
        <w:rPr>
          <w:rFonts w:ascii="Arial" w:cs="Arial" w:eastAsia="Arial" w:hAnsi="Arial"/>
          <w:sz w:val="16"/>
          <w:szCs w:val="16"/>
          <w:color w:val="auto"/>
        </w:rPr>
      </w:pPr>
    </w:p>
    <w:p>
      <w:pPr>
        <w:ind w:left="660" w:firstLine="645"/>
        <w:spacing w:after="0" w:line="254" w:lineRule="auto"/>
        <w:tabs>
          <w:tab w:leader="none" w:pos="200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event that, notwithstanding the foregoing, any payment or distribution of assets of the Company of any kind or character in respect of the principal of, premium, if any, or interest on Indebtedness evidenced by the Securities,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7" w:name="page118"/>
    <w:bookmarkEnd w:id="117"/>
    <w:p>
      <w:pPr>
        <w:ind w:left="660" w:firstLine="645"/>
        <w:spacing w:after="0" w:line="285" w:lineRule="auto"/>
        <w:tabs>
          <w:tab w:leader="none" w:pos="201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premium, if any, or interest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premium, if any, or interest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15.05,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u w:val="single" w:color="auto"/>
          <w:color w:val="auto"/>
        </w:rPr>
        <w:t>No Payment on Securities in Event of Default on Senior Indebtedness</w:t>
      </w:r>
      <w:r>
        <w:rPr>
          <w:rFonts w:ascii="Arial" w:cs="Arial" w:eastAsia="Arial" w:hAnsi="Arial"/>
          <w:sz w:val="16"/>
          <w:szCs w:val="16"/>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5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calendar days of such payment of the amounts then due and owing on such Senior Indebtedness and only the amounts specified in such notice to the Trustee shall be paid to the holders of such Senior Indebtedness.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8" w:name="page119"/>
    <w:bookmarkEnd w:id="118"/>
    <w:p>
      <w:pPr>
        <w:ind w:left="660"/>
        <w:spacing w:after="0"/>
        <w:rPr>
          <w:sz w:val="20"/>
          <w:szCs w:val="20"/>
          <w:color w:val="auto"/>
        </w:rPr>
      </w:pPr>
      <w:r>
        <w:rPr>
          <w:rFonts w:ascii="Arial" w:cs="Arial" w:eastAsia="Arial" w:hAnsi="Arial"/>
          <w:sz w:val="17"/>
          <w:szCs w:val="17"/>
          <w:color w:val="auto"/>
        </w:rPr>
        <w:t xml:space="preserve">Section 15.04 </w:t>
      </w:r>
      <w:r>
        <w:rPr>
          <w:rFonts w:ascii="Arial" w:cs="Arial" w:eastAsia="Arial" w:hAnsi="Arial"/>
          <w:sz w:val="17"/>
          <w:szCs w:val="17"/>
          <w:u w:val="single" w:color="auto"/>
          <w:color w:val="auto"/>
        </w:rPr>
        <w:t>Payments on Securities Permitted</w:t>
      </w:r>
      <w:r>
        <w:rPr>
          <w:rFonts w:ascii="Arial" w:cs="Arial" w:eastAsia="Arial" w:hAnsi="Arial"/>
          <w:sz w:val="17"/>
          <w:szCs w:val="17"/>
          <w:color w:val="auto"/>
        </w:rPr>
        <w:t>. Subject to Section 15.01, nothing contained in this Indenture or in any of the Securities shall</w:t>
      </w:r>
    </w:p>
    <w:p>
      <w:pPr>
        <w:spacing w:after="0" w:line="35" w:lineRule="exact"/>
        <w:rPr>
          <w:sz w:val="20"/>
          <w:szCs w:val="20"/>
          <w:color w:val="auto"/>
        </w:rPr>
      </w:pPr>
    </w:p>
    <w:p>
      <w:pPr>
        <w:ind w:right="60" w:firstLine="8"/>
        <w:spacing w:after="0" w:line="270" w:lineRule="auto"/>
        <w:tabs>
          <w:tab w:leader="none" w:pos="24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premium, if any, or interest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79"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 xml:space="preserve">Section 15.05 </w:t>
      </w:r>
      <w:r>
        <w:rPr>
          <w:rFonts w:ascii="Arial" w:cs="Arial" w:eastAsia="Arial" w:hAnsi="Arial"/>
          <w:sz w:val="17"/>
          <w:szCs w:val="17"/>
          <w:u w:val="single" w:color="auto"/>
          <w:color w:val="auto"/>
        </w:rPr>
        <w:t>Authorization of Securityholders to Trustee to Effect Subordination</w:t>
      </w:r>
      <w:r>
        <w:rPr>
          <w:rFonts w:ascii="Arial" w:cs="Arial" w:eastAsia="Arial" w:hAnsi="Arial"/>
          <w:sz w:val="17"/>
          <w:szCs w:val="17"/>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15.06 </w:t>
      </w:r>
      <w:r>
        <w:rPr>
          <w:rFonts w:ascii="Arial" w:cs="Arial" w:eastAsia="Arial" w:hAnsi="Arial"/>
          <w:sz w:val="16"/>
          <w:szCs w:val="16"/>
          <w:u w:val="single" w:color="auto"/>
          <w:color w:val="auto"/>
        </w:rPr>
        <w:t>Notices to Trustee</w:t>
      </w:r>
      <w:r>
        <w:rPr>
          <w:rFonts w:ascii="Arial" w:cs="Arial" w:eastAsia="Arial" w:hAnsi="Arial"/>
          <w:sz w:val="16"/>
          <w:szCs w:val="16"/>
          <w:color w:val="auto"/>
        </w:rPr>
        <w:t>. The Company shall give prompt written notice to a Responsible Officer of the Trustee of any fact known to the Company that would prohibit the making of any payment of moneys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of, premium, if any, or interest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conclusively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9" w:name="page120"/>
    <w:bookmarkEnd w:id="119"/>
    <w:p>
      <w:pPr>
        <w:ind w:right="160" w:firstLine="648"/>
        <w:spacing w:after="0" w:line="259" w:lineRule="auto"/>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Section 15.08 </w:t>
      </w:r>
      <w:r>
        <w:rPr>
          <w:rFonts w:ascii="Arial" w:cs="Arial" w:eastAsia="Arial" w:hAnsi="Arial"/>
          <w:sz w:val="16"/>
          <w:szCs w:val="16"/>
          <w:u w:val="single" w:color="auto"/>
          <w:color w:val="auto"/>
        </w:rPr>
        <w:t>Modifications of Terms of Senior Indebtedness</w:t>
      </w:r>
      <w:r>
        <w:rPr>
          <w:rFonts w:ascii="Arial" w:cs="Arial" w:eastAsia="Arial" w:hAnsi="Arial"/>
          <w:sz w:val="16"/>
          <w:szCs w:val="16"/>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15.09 </w:t>
      </w:r>
      <w:r>
        <w:rPr>
          <w:rFonts w:ascii="Arial" w:cs="Arial" w:eastAsia="Arial" w:hAnsi="Arial"/>
          <w:sz w:val="16"/>
          <w:szCs w:val="16"/>
          <w:u w:val="single" w:color="auto"/>
          <w:color w:val="auto"/>
        </w:rPr>
        <w:t>Reliance on Judicial Order or Certificate of Liquidating Agent</w:t>
      </w:r>
      <w:r>
        <w:rPr>
          <w:rFonts w:ascii="Arial" w:cs="Arial" w:eastAsia="Arial" w:hAnsi="Arial"/>
          <w:sz w:val="16"/>
          <w:szCs w:val="16"/>
          <w:color w:val="auto"/>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ind w:right="100" w:firstLine="648"/>
        <w:spacing w:after="0" w:line="264"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Satisfaction and Discharge; Defeasance and Covenant Defeasance</w:t>
      </w:r>
      <w:r>
        <w:rPr>
          <w:rFonts w:ascii="Arial" w:cs="Arial" w:eastAsia="Arial" w:hAnsi="Arial"/>
          <w:sz w:val="18"/>
          <w:szCs w:val="18"/>
          <w:color w:val="auto"/>
        </w:rPr>
        <w:t>. Subject to Section 15.01, moneys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u w:val="single" w:color="auto"/>
          <w:color w:val="auto"/>
        </w:rPr>
        <w:t>Trustee Not Fiduciary for Holders of Senior Indebtedness</w:t>
      </w:r>
      <w:r>
        <w:rPr>
          <w:rFonts w:ascii="Arial" w:cs="Arial" w:eastAsia="Arial" w:hAnsi="Arial"/>
          <w:sz w:val="18"/>
          <w:szCs w:val="18"/>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 (a) 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request, no additional certificate or opinion need be furnished.</w:t>
      </w:r>
    </w:p>
    <w:p>
      <w:pPr>
        <w:spacing w:after="0" w:line="193" w:lineRule="exact"/>
        <w:rPr>
          <w:sz w:val="20"/>
          <w:szCs w:val="20"/>
          <w:color w:val="auto"/>
        </w:rPr>
      </w:pPr>
    </w:p>
    <w:p>
      <w:pPr>
        <w:ind w:right="20" w:firstLine="656"/>
        <w:spacing w:after="0" w:line="255" w:lineRule="auto"/>
        <w:tabs>
          <w:tab w:leader="none" w:pos="13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(other than the certificates provided pursuant to Section 6.07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or she has made such examination or investigation as is necessary to enable such Person to express an informed view or opinion as to whether or not such covenant or condition has been complied with; and (iv) a statement as to whether or not, in the opinion of such Person, such condition or covenant has been complied with.</w:t>
      </w:r>
    </w:p>
    <w:p>
      <w:pPr>
        <w:spacing w:after="0" w:line="189" w:lineRule="exact"/>
        <w:rPr>
          <w:rFonts w:ascii="Arial" w:cs="Arial" w:eastAsia="Arial" w:hAnsi="Arial"/>
          <w:sz w:val="18"/>
          <w:szCs w:val="18"/>
          <w:color w:val="auto"/>
        </w:rPr>
      </w:pPr>
    </w:p>
    <w:p>
      <w:pPr>
        <w:ind w:firstLine="656"/>
        <w:spacing w:after="0" w:line="293" w:lineRule="auto"/>
        <w:tabs>
          <w:tab w:leader="none" w:pos="134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1" w:name="page122"/>
    <w:bookmarkEnd w:id="121"/>
    <w:p>
      <w:pPr>
        <w:ind w:right="260" w:firstLine="656"/>
        <w:spacing w:after="0" w:line="276" w:lineRule="auto"/>
        <w:tabs>
          <w:tab w:leader="none" w:pos="135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72" w:lineRule="exact"/>
        <w:rPr>
          <w:rFonts w:ascii="Arial" w:cs="Arial" w:eastAsia="Arial" w:hAnsi="Arial"/>
          <w:sz w:val="17"/>
          <w:szCs w:val="17"/>
          <w:color w:val="auto"/>
        </w:rPr>
      </w:pPr>
    </w:p>
    <w:p>
      <w:pPr>
        <w:ind w:firstLine="656"/>
        <w:spacing w:after="0" w:line="259" w:lineRule="auto"/>
        <w:tabs>
          <w:tab w:leader="none" w:pos="13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6" w:lineRule="exact"/>
        <w:rPr>
          <w:rFonts w:ascii="Arial" w:cs="Arial" w:eastAsia="Arial" w:hAnsi="Arial"/>
          <w:sz w:val="18"/>
          <w:szCs w:val="18"/>
          <w:color w:val="auto"/>
        </w:rPr>
      </w:pPr>
    </w:p>
    <w:p>
      <w:pPr>
        <w:ind w:right="220" w:firstLine="656"/>
        <w:spacing w:after="0" w:line="277" w:lineRule="auto"/>
        <w:tabs>
          <w:tab w:leader="none" w:pos="13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If and to the extent that any provision of this Indenture limits, qualifies or conflicts with the duties imposed by, or with a provision included in this Indenture which is required to be included in this Indenture by any of the provisions of Sections 310 to 318, inclusive, of, the TIA, such imposed duties or incorporated provision shall control.</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Notices to the Company and Trustee</w:t>
      </w:r>
      <w:r>
        <w:rPr>
          <w:rFonts w:ascii="Arial" w:cs="Arial" w:eastAsia="Arial" w:hAnsi="Arial"/>
          <w:sz w:val="18"/>
          <w:szCs w:val="18"/>
          <w:color w:val="auto"/>
        </w:rPr>
        <w:t>. Any notice or demand authorized or permitted by this Indenture to be made upon, given or furnished to, or filed with, the Company or the Trustee shall be sufficiently made, given, furnished or filed for all purposes if it shall be mailed, by regular mail or overnight courier, delivered, emailed or faxed to:</w:t>
      </w:r>
    </w:p>
    <w:p>
      <w:pPr>
        <w:spacing w:after="0" w:line="181" w:lineRule="exact"/>
        <w:rPr>
          <w:sz w:val="20"/>
          <w:szCs w:val="20"/>
          <w:color w:val="auto"/>
        </w:rPr>
      </w:pPr>
    </w:p>
    <w:p>
      <w:pPr>
        <w:ind w:left="660" w:right="80" w:firstLine="645"/>
        <w:spacing w:after="0" w:line="264" w:lineRule="auto"/>
        <w:tabs>
          <w:tab w:leader="none" w:pos="200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at Weibo Corporation, 8/F QIHAO Plaza, No. 8 Xinyuan S. Road, Chaoyang District, Beijing 10027, People’s Republic of China, Attention: Chief Financial Officer, Facsimile No.: +86 (10) 8260-7167 or at such other address or facsimile number as may have been furnished in writing to the Trustee by the Company.</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Trustee, at the Corporate Trust Office of the Trustee, Attention: Corporate &amp; Team deal Manager-Weibo Corporation.</w:t>
      </w:r>
    </w:p>
    <w:p>
      <w:pPr>
        <w:spacing w:after="0" w:line="23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such notice, demand or other document shall be in the English language. Anything herein to the contrary notwithstanding, no such notice or demand shall be effective as to the Trustee unless it is actually received by the Trustee at its Corporate Trust Office.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2" w:name="page123"/>
    <w:bookmarkEnd w:id="122"/>
    <w:p>
      <w:pPr>
        <w:ind w:right="40" w:firstLine="648"/>
        <w:spacing w:after="0" w:line="270" w:lineRule="auto"/>
        <w:rPr>
          <w:sz w:val="20"/>
          <w:szCs w:val="20"/>
          <w:color w:val="auto"/>
        </w:rPr>
      </w:pPr>
      <w:r>
        <w:rPr>
          <w:rFonts w:ascii="Arial" w:cs="Arial" w:eastAsia="Arial" w:hAnsi="Arial"/>
          <w:sz w:val="17"/>
          <w:szCs w:val="17"/>
          <w:color w:val="auto"/>
        </w:rPr>
        <w:t xml:space="preserve">The Trustee agrees to accept and act upon instructions or directions pursuant to this Indenture sent by unsecured e-mail, pdf, facsimile transmission or other similar unsecured electronic methods;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elects to give the Trustee e-mail or facsimile instructions (or instructions by a similar electronic method),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8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Notices to Securityholders; Waiver</w:t>
      </w:r>
      <w:r>
        <w:rPr>
          <w:rFonts w:ascii="Arial" w:cs="Arial" w:eastAsia="Arial" w:hAnsi="Arial"/>
          <w:sz w:val="18"/>
          <w:szCs w:val="18"/>
          <w:color w:val="auto"/>
        </w:rPr>
        <w:t>. Any notice required or permitted to be given to Securityholders shall be sufficiently given (unless otherwise herein expressly provided), if to Holders, if given in writing by first class mail, postage prepaid, to such Holders at their addresses as the same shall appear on the Register and in accordance with the Depositary’s applicable procedures.</w:t>
      </w:r>
    </w:p>
    <w:p>
      <w:pPr>
        <w:spacing w:after="0" w:line="181" w:lineRule="exact"/>
        <w:rPr>
          <w:sz w:val="20"/>
          <w:szCs w:val="20"/>
          <w:color w:val="auto"/>
        </w:rPr>
      </w:pPr>
    </w:p>
    <w:p>
      <w:pPr>
        <w:ind w:right="60" w:firstLine="656"/>
        <w:spacing w:after="0" w:line="277" w:lineRule="auto"/>
        <w:tabs>
          <w:tab w:leader="none" w:pos="134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event of suspension of regular mail service or by reason of any other cause it shall be impracticable to give notice by mail, then such notification as shall be given in accordance with the Depositary’s applicable procedures.</w:t>
      </w:r>
    </w:p>
    <w:p>
      <w:pPr>
        <w:spacing w:after="0" w:line="170" w:lineRule="exact"/>
        <w:rPr>
          <w:rFonts w:ascii="Arial" w:cs="Arial" w:eastAsia="Arial" w:hAnsi="Arial"/>
          <w:sz w:val="18"/>
          <w:szCs w:val="18"/>
          <w:color w:val="auto"/>
        </w:rPr>
      </w:pPr>
    </w:p>
    <w:p>
      <w:pPr>
        <w:ind w:right="20" w:firstLine="656"/>
        <w:spacing w:after="0" w:line="291" w:lineRule="auto"/>
        <w:tabs>
          <w:tab w:leader="none" w:pos="135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u w:val="single" w:color="auto"/>
          <w:color w:val="auto"/>
        </w:rPr>
        <w:t>Legal Holiday</w:t>
      </w:r>
      <w:r>
        <w:rPr>
          <w:rFonts w:ascii="Arial" w:cs="Arial" w:eastAsia="Arial" w:hAnsi="Arial"/>
          <w:sz w:val="17"/>
          <w:szCs w:val="17"/>
          <w:color w:val="auto"/>
        </w:rPr>
        <w:t>. Unless otherwise specified pursuant to Section 3.01, in any case where any Interest Payment Date, Redemption Date, Maturity or other scheduled date of payment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ind w:firstLine="648"/>
        <w:spacing w:after="0" w:line="286" w:lineRule="auto"/>
        <w:rPr>
          <w:sz w:val="20"/>
          <w:szCs w:val="20"/>
          <w:color w:val="auto"/>
        </w:rPr>
      </w:pPr>
      <w:r>
        <w:rPr>
          <w:rFonts w:ascii="Arial" w:cs="Arial" w:eastAsia="Arial" w:hAnsi="Arial"/>
          <w:sz w:val="16"/>
          <w:szCs w:val="16"/>
          <w:color w:val="auto"/>
        </w:rPr>
        <w:t xml:space="preserve">Section 16.06 </w:t>
      </w:r>
      <w:r>
        <w:rPr>
          <w:rFonts w:ascii="Arial" w:cs="Arial" w:eastAsia="Arial" w:hAnsi="Arial"/>
          <w:sz w:val="16"/>
          <w:szCs w:val="16"/>
          <w:u w:val="single" w:color="auto"/>
          <w:color w:val="auto"/>
        </w:rPr>
        <w:t>Judgment Currency</w:t>
      </w:r>
      <w:r>
        <w:rPr>
          <w:rFonts w:ascii="Arial" w:cs="Arial" w:eastAsia="Arial" w:hAnsi="Arial"/>
          <w:sz w:val="16"/>
          <w:szCs w:val="16"/>
          <w:color w:val="auto"/>
        </w:rPr>
        <w:t xml:space="preserve">. To the fullest extent permitted by law, the obligations of the Company to any Holder under this Indenture or the Securities of any series, as the case may be, shall, notwithstanding any judgment in a currency (the “Judgment Currency”) other than U.S. Dollars, be discharged only to the extent that on the Business Day following receipt by such Holder or the Trustee, as the case may be, of any amount in the Judgment Currency, such Holder or the Trustee, as the case may be, may in accordance with normal banking procedures purchase the U.S. Dollars with the Judgment Currency. If the amount of U.S. Dollars so purchased is less than the amount originally to be paid to such Holder or the Trustee, as the case may be, in U.S. Dollars, the Company agrees, as a separate obligation and notwithstanding such judgment, to pay the difference, and if the amount of U.S. Dollars so purchased exceeds the amount originally to be paid to such Holder, such Holder or the Trustee, as the case may be, agrees to pay to or for the account of the Company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Holder shall not have any obligation to pay any such excess as long as a Default by the Company in its obligations under this Indenture or such series of Securities has occurred and is continuing, in which case such excess may be applied by such Holder to such obligations. In the event the Trustee is required or requested to make such purchases of U.S. Dollars with the Judgment Currency, the Trustee will in good faith select a recognized banking institution in The City of New York through which the Trustee will purchase the U.S. Dollars with the Judgment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will not be liable for any losses or shortfalls in amounts so paid as a result of the foreign exchange rate applied by such banking institution to such purchases of the U.S. Dollars with the Judgment Currency in accordance with normal banking procedures.</w:t>
      </w:r>
    </w:p>
    <w:p>
      <w:pPr>
        <w:spacing w:after="0" w:line="17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Effects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shall be held to be invalid, illegal or unenforceable under applicable law, then the remaining provisions hereof shall be construed as though such invalid, illegal or unenforceable provision were not contained herein.</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expressed and nothing that may be implied from any of the provisions hereof is intended, or shall be construed, to confer upon, or to give to, any Person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Indenture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4" w:name="page125"/>
    <w:bookmarkEnd w:id="124"/>
    <w:p>
      <w:pPr>
        <w:ind w:firstLine="648"/>
        <w:spacing w:after="0" w:line="264"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Governing Law; Waiver of Trial by Jury</w:t>
      </w:r>
      <w:r>
        <w:rPr>
          <w:rFonts w:ascii="Arial" w:cs="Arial" w:eastAsia="Arial" w:hAnsi="Arial"/>
          <w:sz w:val="18"/>
          <w:szCs w:val="18"/>
          <w:color w:val="auto"/>
        </w:rPr>
        <w:t>. This Indenture and the Securities shall be deemed to be contracts made under the laws of the State of New York, and for all purposes shall be governed by and construed in accordance with the law of said State (without regard to conflicts of laws principles thereof that would permit the application of the laws of another jurisdiction).</w:t>
      </w:r>
    </w:p>
    <w:p>
      <w:pPr>
        <w:spacing w:after="0" w:line="18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EACH OF THE PARTIES HEREBY IRREVOCABLY WAIVES, TO THE FULLEST EXTENT PERMITTED BY APPLICABLE LAW, ANY AND ALL RIGHT IT MAY HAVE TO A TRIAL BY JURY IN RESPECT OF ANY LITIGATION DIRECTLY OR INDIRECTLY ARISING OUT OF, UNDER OR IN CONNECTION WITH THIS INDENTURE OR THE SECURITIES.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16.13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Company irrevocably and unconditionally submits to the non-exclusive jurisdiction of any U.S. federal or New York State court located in the Borough of Manhattan, The City of New York over any suit, action or proceeding arising out of or relating to this Indenture or the Securities. Service of any process, summons, notice or document by registered mail addressed to the Company’s agent, Law Debenture Corporate Services Inc., at the address 801 2nd Avenue, Suite 403, New York, New York 10017, shall be effective service of process against the Company for any suit, action or proceeding brought in any such court. The Company irrevocably and unconditionally waives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the Company and may be enforced in any other courts to whose jurisdiction the Company is or may be subject, by suit upon judgment. The Company further agrees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spacing w:after="0" w:line="17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 xml:space="preserve">Section 16.14 </w:t>
      </w:r>
      <w:r>
        <w:rPr>
          <w:rFonts w:ascii="Arial" w:cs="Arial" w:eastAsia="Arial" w:hAnsi="Arial"/>
          <w:sz w:val="16"/>
          <w:szCs w:val="16"/>
          <w:u w:val="single" w:color="auto"/>
          <w:color w:val="auto"/>
        </w:rPr>
        <w:t>Waiver of Immunity</w:t>
      </w:r>
      <w:r>
        <w:rPr>
          <w:rFonts w:ascii="Arial" w:cs="Arial" w:eastAsia="Arial" w:hAnsi="Arial"/>
          <w:sz w:val="16"/>
          <w:szCs w:val="16"/>
          <w:color w:val="auto"/>
        </w:rPr>
        <w:t>. To the extent that the Company or any of its properties, assets or revenues may have or may hereafter become entitled to, or have attributed to each of the Company, any right of immunity, on the grounds of sovereignty or otherwise, from any legal action, suit or proceeding, from the giving of any relief in any such legal action, suit or proceeding, from setoff or counterclaim, from the jurisdiction of any Cayman Islands, PRC, New York state or U.S. federal court, from service of process, from attachment upon or prior to judgment, from attachment in aid of execution of judgment, or from execution of judgment, or other legal process or proceeding for the giving of any relief or for the enforcement of any judgment, in any such court in which proceedings may at any time be commenced, with respect to the obligations and liabilities of the Company or any other matter under or arising out of or in connection with this Indenture, the Company hereby irrevocably and unconditionally waives or will waive such right to the extent permitted by applicable law, and agree not to plead or claim, any such immunity and consent to such relief and enforcement.</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16.15 </w:t>
      </w:r>
      <w:r>
        <w:rPr>
          <w:rFonts w:ascii="Arial" w:cs="Arial" w:eastAsia="Arial" w:hAnsi="Arial"/>
          <w:sz w:val="18"/>
          <w:szCs w:val="18"/>
          <w:u w:val="single" w:color="auto"/>
          <w:color w:val="auto"/>
        </w:rPr>
        <w:t>Force Majeure</w:t>
      </w:r>
      <w:r>
        <w:rPr>
          <w:rFonts w:ascii="Arial" w:cs="Arial" w:eastAsia="Arial" w:hAnsi="Arial"/>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or the unavailability of the Federal reserve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5" w:name="page126"/>
    <w:bookmarkEnd w:id="125"/>
    <w:p>
      <w:pPr>
        <w:ind w:firstLine="648"/>
        <w:spacing w:after="0" w:line="255" w:lineRule="auto"/>
        <w:rPr>
          <w:sz w:val="20"/>
          <w:szCs w:val="20"/>
          <w:color w:val="auto"/>
        </w:rPr>
      </w:pPr>
      <w:r>
        <w:rPr>
          <w:rFonts w:ascii="Arial" w:cs="Arial" w:eastAsia="Arial" w:hAnsi="Arial"/>
          <w:sz w:val="18"/>
          <w:szCs w:val="18"/>
          <w:color w:val="auto"/>
        </w:rPr>
        <w:t xml:space="preserve">Section 16.16 </w:t>
      </w:r>
      <w:r>
        <w:rPr>
          <w:rFonts w:ascii="Arial" w:cs="Arial" w:eastAsia="Arial" w:hAnsi="Arial"/>
          <w:sz w:val="18"/>
          <w:szCs w:val="18"/>
          <w:u w:val="single" w:color="auto"/>
          <w:color w:val="auto"/>
        </w:rPr>
        <w:t>USA Patriot Act</w:t>
      </w:r>
      <w:r>
        <w:rPr>
          <w:rFonts w:ascii="Arial" w:cs="Arial" w:eastAsia="Arial" w:hAnsi="Arial"/>
          <w:sz w:val="18"/>
          <w:szCs w:val="18"/>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18"/>
          <w:szCs w:val="18"/>
          <w:u w:val="single" w:color="auto"/>
          <w:color w:val="auto"/>
        </w:rPr>
        <w:t>Applicable AML Law</w:t>
      </w:r>
      <w:r>
        <w:rPr>
          <w:rFonts w:ascii="Arial" w:cs="Arial" w:eastAsia="Arial" w:hAnsi="Arial"/>
          <w:sz w:val="18"/>
          <w:szCs w:val="18"/>
          <w:color w:val="auto"/>
        </w:rPr>
        <w:t>”), the Trustee is required to obtain, verify, record and update certain information relating to individuals and entities which maintain a business relationship with the Trustee. Accordingly, each of the parties agree to provide to the Trustee, upon its request from time to time such identifying information and documentation as may be available for such party in order to enable the Trustee to comply with Applicable AML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Indenture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WEIBO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 Inclusion in a Global Security only —</w:t>
      </w:r>
      <w:r>
        <w:rPr>
          <w:rFonts w:ascii="Arial" w:cs="Arial" w:eastAsia="Arial" w:hAnsi="Arial"/>
          <w:sz w:val="18"/>
          <w:szCs w:val="18"/>
          <w:color w:val="auto"/>
        </w:rPr>
        <w:t xml:space="preserve"> 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WEIBO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Note Due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Weibo Corporation, an exempted company incorporated in the Cayman Islands (the “</w:t>
      </w:r>
      <w:r>
        <w:rPr>
          <w:rFonts w:ascii="Arial" w:cs="Arial" w:eastAsia="Arial" w:hAnsi="Arial"/>
          <w:sz w:val="16"/>
          <w:szCs w:val="16"/>
          <w:u w:val="single" w:color="auto"/>
          <w:color w:val="auto"/>
        </w:rPr>
        <w:t>Company</w:t>
      </w:r>
      <w:r>
        <w:rPr>
          <w:rFonts w:ascii="Arial" w:cs="Arial" w:eastAsia="Arial" w:hAnsi="Arial"/>
          <w:sz w:val="16"/>
          <w:szCs w:val="16"/>
          <w:color w:val="auto"/>
        </w:rPr>
        <w:t>,” which term includes any successor thereto under</w:t>
      </w:r>
    </w:p>
    <w:p>
      <w:pPr>
        <w:sectPr>
          <w:pgSz w:w="11900" w:h="16838" w:orient="portrait"/>
          <w:cols w:equalWidth="0" w:num="1">
            <w:col w:w="11420"/>
          </w:cols>
          <w:pgMar w:left="240" w:top="337" w:right="239" w:bottom="1440" w:gutter="0" w:footer="0" w:header="0"/>
        </w:sectPr>
      </w:pP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 referred to on the reverse hereof), for value received, hereby promises to pay to , or registered assigns, the principal sum of ( ) (or such other principal amount as shall be set forth in the Schedule of Increases or Decreases in Note attached hereto) on on such earlier date as the principal hereof may become due in accordance with the provisions of this Note.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464" w:lineRule="exact"/>
        <w:rPr>
          <w:sz w:val="20"/>
          <w:szCs w:val="20"/>
          <w:color w:val="auto"/>
        </w:rPr>
      </w:pPr>
    </w:p>
    <w:p>
      <w:pPr>
        <w:sectPr>
          <w:pgSz w:w="11900" w:h="16838" w:orient="portrait"/>
          <w:cols w:equalWidth="0" w:num="2">
            <w:col w:w="10760" w:space="400"/>
            <w:col w:w="260"/>
          </w:cols>
          <w:pgMar w:left="240" w:top="337" w:right="23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annum.</w:t>
      </w:r>
    </w:p>
    <w:p>
      <w:pPr>
        <w:spacing w:after="0" w:line="200" w:lineRule="exact"/>
        <w:rPr>
          <w:sz w:val="20"/>
          <w:szCs w:val="20"/>
          <w:color w:val="auto"/>
        </w:rPr>
      </w:pPr>
    </w:p>
    <w:p>
      <w:pPr>
        <w:sectPr>
          <w:pgSz w:w="11900" w:h="16838" w:orient="portrait"/>
          <w:cols w:equalWidth="0" w:num="2">
            <w:col w:w="1620" w:space="220"/>
            <w:col w:w="9580"/>
          </w:cols>
          <w:pgMar w:left="240" w:top="337"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of each year, commencing 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4">
            <w:col w:w="2640" w:space="720"/>
            <w:col w:w="540" w:space="720"/>
            <w:col w:w="2340" w:space="720"/>
            <w:col w:w="3740"/>
          </w:cols>
          <w:pgMar w:left="240" w:top="337"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Interest Record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1" w:lineRule="exact"/>
        <w:rPr>
          <w:sz w:val="20"/>
          <w:szCs w:val="20"/>
          <w:color w:val="auto"/>
        </w:rPr>
      </w:pPr>
    </w:p>
    <w:p>
      <w:pPr>
        <w:sectPr>
          <w:pgSz w:w="11900" w:h="16838" w:orient="portrait"/>
          <w:cols w:equalWidth="0" w:num="3">
            <w:col w:w="2540" w:space="720"/>
            <w:col w:w="480" w:space="720"/>
            <w:col w:w="6960"/>
          </w:cols>
          <w:pgMar w:left="240" w:top="337" w:right="239" w:bottom="1440" w:gutter="0" w:footer="0" w:header="0"/>
          <w:type w:val="continuous"/>
        </w:sectPr>
      </w:pPr>
    </w:p>
    <w:p>
      <w:pPr>
        <w:spacing w:after="0" w:line="6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under the Indenture referred to on the reverse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7"/>
          <w:szCs w:val="17"/>
          <w:color w:val="auto"/>
        </w:rPr>
        <w:t>IN WITNESS WHEREOF, Weibo Corporation has caused this Note to be duly executed.</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WEIBO CORPORATION</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-130810</wp:posOffset>
            </wp:positionV>
            <wp:extent cx="31984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128" w:name="page129"/>
    <w:bookmarkEnd w:id="128"/>
    <w:p>
      <w:pPr>
        <w:ind w:left="4200"/>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60" w:type="dxa"/>
            <w:vAlign w:val="bottom"/>
            <w:gridSpan w:val="6"/>
          </w:tcPr>
          <w:p>
            <w:pPr>
              <w:jc w:val="center"/>
              <w:ind w:right="2420"/>
              <w:spacing w:after="0"/>
              <w:rPr>
                <w:sz w:val="20"/>
                <w:szCs w:val="20"/>
                <w:color w:val="auto"/>
              </w:rPr>
            </w:pPr>
            <w:r>
              <w:rPr>
                <w:rFonts w:ascii="Arial" w:cs="Arial" w:eastAsia="Arial" w:hAnsi="Arial"/>
                <w:sz w:val="18"/>
                <w:szCs w:val="18"/>
                <w:color w:val="auto"/>
                <w:w w:val="93"/>
              </w:rPr>
              <w:t>REVERSE OF NOTE</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60" w:type="dxa"/>
            <w:vAlign w:val="bottom"/>
            <w:gridSpan w:val="6"/>
          </w:tcPr>
          <w:p>
            <w:pPr>
              <w:jc w:val="center"/>
              <w:ind w:right="2440"/>
              <w:spacing w:after="0"/>
              <w:rPr>
                <w:sz w:val="20"/>
                <w:szCs w:val="20"/>
                <w:color w:val="auto"/>
              </w:rPr>
            </w:pPr>
            <w:r>
              <w:rPr>
                <w:rFonts w:ascii="Arial" w:cs="Arial" w:eastAsia="Arial" w:hAnsi="Arial"/>
                <w:sz w:val="18"/>
                <w:szCs w:val="18"/>
                <w:color w:val="auto"/>
                <w:w w:val="95"/>
              </w:rPr>
              <w:t>WEIBO CORPORATION</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0" w:type="dxa"/>
            <w:vAlign w:val="bottom"/>
            <w:gridSpan w:val="5"/>
          </w:tcPr>
          <w:p>
            <w:pPr>
              <w:jc w:val="center"/>
              <w:ind w:right="3700"/>
              <w:spacing w:after="0"/>
              <w:rPr>
                <w:sz w:val="20"/>
                <w:szCs w:val="20"/>
                <w:color w:val="auto"/>
              </w:rPr>
            </w:pPr>
            <w:r>
              <w:rPr>
                <w:rFonts w:ascii="Arial" w:cs="Arial" w:eastAsia="Arial" w:hAnsi="Arial"/>
                <w:sz w:val="18"/>
                <w:szCs w:val="18"/>
                <w:color w:val="auto"/>
                <w:w w:val="92"/>
              </w:rPr>
              <w:t>% Note Due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2"/>
        </w:trPr>
        <w:tc>
          <w:tcPr>
            <w:tcW w:w="9860" w:type="dxa"/>
            <w:vAlign w:val="bottom"/>
            <w:gridSpan w:val="8"/>
          </w:tcPr>
          <w:p>
            <w:pPr>
              <w:ind w:left="660"/>
              <w:spacing w:after="0"/>
              <w:rPr>
                <w:sz w:val="20"/>
                <w:szCs w:val="20"/>
                <w:color w:val="auto"/>
              </w:rPr>
            </w:pPr>
            <w:r>
              <w:rPr>
                <w:rFonts w:ascii="Arial" w:cs="Arial" w:eastAsia="Arial" w:hAnsi="Arial"/>
                <w:sz w:val="18"/>
                <w:szCs w:val="18"/>
                <w:color w:val="auto"/>
                <w:w w:val="93"/>
              </w:rPr>
              <w:t>This Note is one of a duly authorized issue of debt securities of the Company of the series designated as the “  % Note due</w:t>
            </w:r>
          </w:p>
        </w:tc>
        <w:tc>
          <w:tcPr>
            <w:tcW w:w="1560" w:type="dxa"/>
            <w:vAlign w:val="bottom"/>
            <w:gridSpan w:val="3"/>
          </w:tcPr>
          <w:p>
            <w:pPr>
              <w:ind w:left="280"/>
              <w:spacing w:after="0"/>
              <w:rPr>
                <w:sz w:val="20"/>
                <w:szCs w:val="20"/>
                <w:color w:val="auto"/>
              </w:rPr>
            </w:pPr>
            <w:r>
              <w:rPr>
                <w:rFonts w:ascii="Arial" w:cs="Arial" w:eastAsia="Arial" w:hAnsi="Arial"/>
                <w:sz w:val="18"/>
                <w:szCs w:val="18"/>
                <w:color w:val="auto"/>
              </w:rPr>
              <w:t>“ (the “Notes”),</w:t>
            </w:r>
          </w:p>
        </w:tc>
      </w:tr>
      <w:tr>
        <w:trPr>
          <w:trHeight w:val="20"/>
        </w:trPr>
        <w:tc>
          <w:tcPr>
            <w:tcW w:w="40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260" w:type="dxa"/>
            <w:vAlign w:val="bottom"/>
            <w:gridSpan w:val="3"/>
          </w:tcPr>
          <w:p>
            <w:pPr>
              <w:spacing w:after="0" w:line="196" w:lineRule="exact"/>
              <w:rPr>
                <w:sz w:val="20"/>
                <w:szCs w:val="20"/>
                <w:color w:val="auto"/>
              </w:rPr>
            </w:pPr>
            <w:r>
              <w:rPr>
                <w:rFonts w:ascii="Arial" w:cs="Arial" w:eastAsia="Arial" w:hAnsi="Arial"/>
                <w:sz w:val="18"/>
                <w:szCs w:val="18"/>
                <w:color w:val="auto"/>
                <w:w w:val="89"/>
              </w:rPr>
              <w:t>all issued or to be issued under and pursuant to an Indenture, dated as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gridSpan w:val="6"/>
          </w:tcPr>
          <w:p>
            <w:pPr>
              <w:ind w:left="400"/>
              <w:spacing w:after="0" w:line="196" w:lineRule="exact"/>
              <w:rPr>
                <w:sz w:val="20"/>
                <w:szCs w:val="20"/>
                <w:color w:val="auto"/>
              </w:rPr>
            </w:pPr>
            <w:r>
              <w:rPr>
                <w:rFonts w:ascii="Arial" w:cs="Arial" w:eastAsia="Arial" w:hAnsi="Arial"/>
                <w:sz w:val="18"/>
                <w:szCs w:val="18"/>
                <w:color w:val="auto"/>
                <w:w w:val="90"/>
              </w:rPr>
              <w:t>(the “Base Indenture”), duly executed and delivered by and between the</w:t>
            </w:r>
          </w:p>
        </w:tc>
      </w:tr>
      <w:tr>
        <w:trPr>
          <w:trHeight w:val="20"/>
        </w:trPr>
        <w:tc>
          <w:tcPr>
            <w:tcW w:w="40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r>
      <w:tr>
        <w:trPr>
          <w:trHeight w:val="196"/>
        </w:trPr>
        <w:tc>
          <w:tcPr>
            <w:tcW w:w="11420" w:type="dxa"/>
            <w:vAlign w:val="bottom"/>
            <w:gridSpan w:val="11"/>
          </w:tcPr>
          <w:p>
            <w:pPr>
              <w:spacing w:after="0" w:line="196" w:lineRule="exact"/>
              <w:rPr>
                <w:sz w:val="20"/>
                <w:szCs w:val="20"/>
                <w:color w:val="auto"/>
              </w:rPr>
            </w:pPr>
            <w:r>
              <w:rPr>
                <w:rFonts w:ascii="Arial" w:cs="Arial" w:eastAsia="Arial" w:hAnsi="Arial"/>
                <w:sz w:val="18"/>
                <w:szCs w:val="18"/>
                <w:color w:val="auto"/>
                <w:w w:val="94"/>
              </w:rPr>
              <w:t>Company and Deutsche Bank Trust Company Americas, as trustee (the “Trustee,” which term includes any successor trustee), as supplemented by the</w:t>
            </w:r>
          </w:p>
        </w:tc>
      </w:tr>
      <w:tr>
        <w:trPr>
          <w:trHeight w:val="20"/>
        </w:trPr>
        <w:tc>
          <w:tcPr>
            <w:tcW w:w="3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r>
      <w:tr>
        <w:trPr>
          <w:trHeight w:val="196"/>
        </w:trPr>
        <w:tc>
          <w:tcPr>
            <w:tcW w:w="3100" w:type="dxa"/>
            <w:vAlign w:val="bottom"/>
          </w:tcPr>
          <w:p>
            <w:pPr>
              <w:spacing w:after="0" w:line="196" w:lineRule="exact"/>
              <w:rPr>
                <w:sz w:val="20"/>
                <w:szCs w:val="20"/>
                <w:color w:val="auto"/>
              </w:rPr>
            </w:pPr>
            <w:r>
              <w:rPr>
                <w:rFonts w:ascii="Arial" w:cs="Arial" w:eastAsia="Arial" w:hAnsi="Arial"/>
                <w:sz w:val="18"/>
                <w:szCs w:val="18"/>
                <w:color w:val="auto"/>
              </w:rPr>
              <w:t>Supplemental Indenture, dated as of</w:t>
            </w:r>
          </w:p>
        </w:tc>
        <w:tc>
          <w:tcPr>
            <w:tcW w:w="8320" w:type="dxa"/>
            <w:vAlign w:val="bottom"/>
            <w:gridSpan w:val="10"/>
          </w:tcPr>
          <w:p>
            <w:pPr>
              <w:ind w:left="500"/>
              <w:spacing w:after="0" w:line="196" w:lineRule="exact"/>
              <w:rPr>
                <w:sz w:val="20"/>
                <w:szCs w:val="20"/>
                <w:color w:val="auto"/>
              </w:rPr>
            </w:pPr>
            <w:r>
              <w:rPr>
                <w:rFonts w:ascii="Arial" w:cs="Arial" w:eastAsia="Arial" w:hAnsi="Arial"/>
                <w:sz w:val="18"/>
                <w:szCs w:val="18"/>
                <w:color w:val="auto"/>
                <w:w w:val="90"/>
              </w:rPr>
              <w:t>(the “Supplemental Indenture”), duly executed and delivered by and between the Company and the Trustee].</w:t>
            </w:r>
          </w:p>
        </w:tc>
      </w:tr>
      <w:tr>
        <w:trPr>
          <w:trHeight w:val="20"/>
        </w:trPr>
        <w:tc>
          <w:tcPr>
            <w:tcW w:w="3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Base Indenture as supplemented and amended by the Supplemental Indenture is referred to herein as the “</w:t>
      </w:r>
      <w:r>
        <w:rPr>
          <w:rFonts w:ascii="Arial" w:cs="Arial" w:eastAsia="Arial" w:hAnsi="Arial"/>
          <w:sz w:val="18"/>
          <w:szCs w:val="18"/>
          <w:u w:val="single" w:color="auto"/>
          <w:color w:val="auto"/>
        </w:rPr>
        <w:t>Indenture</w:t>
      </w:r>
      <w:r>
        <w:rPr>
          <w:rFonts w:ascii="Arial" w:cs="Arial" w:eastAsia="Arial" w:hAnsi="Arial"/>
          <w:sz w:val="18"/>
          <w:szCs w:val="18"/>
          <w:color w:val="auto"/>
        </w:rPr>
        <w:t>”. Capitalized terms used herein and not otherwise defined shall have the meanings given them in the Indenture.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9800" w:type="dxa"/>
            <w:vAlign w:val="bottom"/>
            <w:gridSpan w:val="3"/>
          </w:tcPr>
          <w:p>
            <w:pPr>
              <w:spacing w:after="0"/>
              <w:rPr>
                <w:sz w:val="20"/>
                <w:szCs w:val="20"/>
                <w:color w:val="auto"/>
              </w:rPr>
            </w:pPr>
            <w:r>
              <w:rPr>
                <w:rFonts w:ascii="Arial" w:cs="Arial" w:eastAsia="Arial" w:hAnsi="Arial"/>
                <w:sz w:val="18"/>
                <w:szCs w:val="18"/>
                <w:color w:val="auto"/>
                <w:w w:val="91"/>
              </w:rPr>
              <w:t>Interest. The Company promises to pay interest on the principal amount of this Note at a rate of   % per annum. The Company will pay</w:t>
            </w:r>
          </w:p>
        </w:tc>
      </w:tr>
      <w:tr>
        <w:trPr>
          <w:trHeight w:val="20"/>
        </w:trPr>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7"/>
        </w:trPr>
        <w:tc>
          <w:tcPr>
            <w:tcW w:w="1920" w:type="dxa"/>
            <w:vAlign w:val="bottom"/>
            <w:gridSpan w:val="2"/>
          </w:tcPr>
          <w:p>
            <w:pPr>
              <w:spacing w:after="0"/>
              <w:rPr>
                <w:sz w:val="20"/>
                <w:szCs w:val="20"/>
                <w:color w:val="auto"/>
              </w:rPr>
            </w:pPr>
            <w:r>
              <w:rPr>
                <w:rFonts w:ascii="Arial" w:cs="Arial" w:eastAsia="Arial" w:hAnsi="Arial"/>
                <w:sz w:val="18"/>
                <w:szCs w:val="18"/>
                <w:color w:val="auto"/>
                <w:w w:val="94"/>
              </w:rPr>
              <w:t>interest semi-annually on</w:t>
            </w:r>
          </w:p>
        </w:tc>
        <w:tc>
          <w:tcPr>
            <w:tcW w:w="1660" w:type="dxa"/>
            <w:vAlign w:val="bottom"/>
          </w:tcPr>
          <w:p>
            <w:pPr>
              <w:ind w:left="900"/>
              <w:spacing w:after="0"/>
              <w:rPr>
                <w:sz w:val="20"/>
                <w:szCs w:val="20"/>
                <w:color w:val="auto"/>
              </w:rPr>
            </w:pPr>
            <w:r>
              <w:rPr>
                <w:rFonts w:ascii="Arial" w:cs="Arial" w:eastAsia="Arial" w:hAnsi="Arial"/>
                <w:sz w:val="18"/>
                <w:szCs w:val="18"/>
                <w:color w:val="auto"/>
              </w:rPr>
              <w:t>and</w:t>
            </w:r>
          </w:p>
        </w:tc>
        <w:tc>
          <w:tcPr>
            <w:tcW w:w="7600" w:type="dxa"/>
            <w:vAlign w:val="bottom"/>
          </w:tcPr>
          <w:p>
            <w:pPr>
              <w:ind w:left="480"/>
              <w:spacing w:after="0"/>
              <w:rPr>
                <w:sz w:val="20"/>
                <w:szCs w:val="20"/>
                <w:color w:val="auto"/>
              </w:rPr>
            </w:pPr>
            <w:r>
              <w:rPr>
                <w:rFonts w:ascii="Arial" w:cs="Arial" w:eastAsia="Arial" w:hAnsi="Arial"/>
                <w:sz w:val="18"/>
                <w:szCs w:val="18"/>
                <w:color w:val="auto"/>
                <w:w w:val="94"/>
              </w:rPr>
              <w:t>of each year. If a payment date is not a Business Day as defined in the Indenture at a Place of</w:t>
            </w:r>
          </w:p>
        </w:tc>
      </w:tr>
    </w:tbl>
    <w:p>
      <w:pPr>
        <w:spacing w:after="0"/>
        <w:rPr>
          <w:sz w:val="20"/>
          <w:szCs w:val="20"/>
          <w:color w:val="auto"/>
        </w:rPr>
      </w:pPr>
      <w:r>
        <w:rPr>
          <w:rFonts w:ascii="Arial" w:cs="Arial" w:eastAsia="Arial" w:hAnsi="Arial"/>
          <w:sz w:val="16"/>
          <w:szCs w:val="16"/>
          <w:color w:val="auto"/>
        </w:rPr>
        <w:t>Payment, payment may be made at that place on the next succeeding day that is a Business Day, and no interest shall accrue for the intervening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shall be computed on the basis of a 360-day year of twelve 30-day months.</w:t>
      </w:r>
    </w:p>
    <w:p>
      <w:pPr>
        <w:spacing w:after="0" w:line="211" w:lineRule="exact"/>
        <w:rPr>
          <w:sz w:val="20"/>
          <w:szCs w:val="20"/>
          <w:color w:val="auto"/>
        </w:rPr>
      </w:pPr>
    </w:p>
    <w:p>
      <w:pPr>
        <w:ind w:right="20" w:firstLine="656"/>
        <w:spacing w:after="0" w:line="291" w:lineRule="auto"/>
        <w:tabs>
          <w:tab w:leader="none" w:pos="136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The Company shall pay interest on the Notes (except Defaulted Interest), if any, to the Persons in whose name such Notes are registered at the close of business on the Record Date referred to on the face of this Note for such interest installment. In the event that the Notes or a portion thereof are called for redemption, and the Redemption Date is subsequent to a Record Date with respect to any Interest Payment Date and prior to such Interest Payment Date, interest on such Notes will instead be paid upon presentation and surrender of such Notes as provided in the Indenture. Payment of interest on the Notes shall be made, in the currency of the United States of America that at the time is legal tender for payment of public and private debts, at the Corporate Trust Office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67" w:lineRule="exact"/>
        <w:rPr>
          <w:rFonts w:ascii="Arial" w:cs="Arial" w:eastAsia="Arial" w:hAnsi="Arial"/>
          <w:sz w:val="16"/>
          <w:szCs w:val="16"/>
          <w:color w:val="auto"/>
        </w:rPr>
      </w:pPr>
    </w:p>
    <w:p>
      <w:pPr>
        <w:ind w:right="420" w:firstLine="656"/>
        <w:spacing w:after="0" w:line="264" w:lineRule="auto"/>
        <w:tabs>
          <w:tab w:leader="none" w:pos="136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Paying Agent, Authenticating Agent and Registrar</w:t>
      </w:r>
      <w:r>
        <w:rPr>
          <w:rFonts w:ascii="Arial" w:cs="Arial" w:eastAsia="Arial" w:hAnsi="Arial"/>
          <w:sz w:val="18"/>
          <w:szCs w:val="18"/>
          <w:color w:val="auto"/>
        </w:rPr>
        <w:t>. Initially, Deutsche Bank Trust Company Americas, the Trustee, will act as Paying Agent, Authenticating Agent and Registrar. The Company may change or appoint any Paying Agent or Registrar without notice to any Noteholder. The Company may act in any such capacity.</w:t>
      </w:r>
    </w:p>
    <w:p>
      <w:pPr>
        <w:spacing w:after="0" w:line="181" w:lineRule="exact"/>
        <w:rPr>
          <w:rFonts w:ascii="Arial" w:cs="Arial" w:eastAsia="Arial" w:hAnsi="Arial"/>
          <w:sz w:val="18"/>
          <w:szCs w:val="18"/>
          <w:color w:val="auto"/>
        </w:rPr>
      </w:pPr>
    </w:p>
    <w:p>
      <w:pPr>
        <w:ind w:right="20" w:firstLine="656"/>
        <w:spacing w:after="0" w:line="288" w:lineRule="auto"/>
        <w:tabs>
          <w:tab w:leader="none" w:pos="136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terms of the Notes include those stated in the Indenture and those made part of the Indenture by reference to the Trust Indenture Act of 1939 (“</w:t>
      </w:r>
      <w:r>
        <w:rPr>
          <w:rFonts w:ascii="Arial" w:cs="Arial" w:eastAsia="Arial" w:hAnsi="Arial"/>
          <w:sz w:val="16"/>
          <w:szCs w:val="16"/>
          <w:u w:val="single" w:color="auto"/>
          <w:color w:val="auto"/>
        </w:rPr>
        <w:t>TIA</w:t>
      </w:r>
      <w:r>
        <w:rPr>
          <w:rFonts w:ascii="Arial" w:cs="Arial" w:eastAsia="Arial" w:hAnsi="Arial"/>
          <w:sz w:val="16"/>
          <w:szCs w:val="16"/>
          <w:color w:val="auto"/>
        </w:rPr>
        <w:t>”) as in effect on the date the Indenture is qualified. The Notes are subject to all such terms, and Noteholders are referred to the Indenture and TIA for a statement of such terms. The Notes are unsecured general obligations of the Company and constitute the series designated on the face</w:t>
      </w:r>
    </w:p>
    <w:p>
      <w:pPr>
        <w:ind w:right="100"/>
        <w:spacing w:after="0" w:line="277" w:lineRule="auto"/>
        <w:rPr>
          <w:sz w:val="20"/>
          <w:szCs w:val="20"/>
          <w:color w:val="auto"/>
        </w:rPr>
      </w:pPr>
      <w:r>
        <w:rPr>
          <w:rFonts w:ascii="Arial" w:cs="Arial" w:eastAsia="Arial" w:hAnsi="Arial"/>
          <w:sz w:val="17"/>
          <w:szCs w:val="17"/>
          <w:color w:val="auto"/>
        </w:rPr>
        <w:t>of this Note as the “ % Note due ,” initially limited to US$ in aggregate principal amount. The Company will furnish to any Noteholder upon written request and without charge a copy of the Base Indenture and the Supplemental Indenture. Requests may be made to: Weibo Corporation, 8/F QIHAO Plaza, No. 8 Xinyuan S. Road, Chaoyang District, Beijing 10027, People’s Republic of China, Attention: Chief Financial Officer.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jc w:val="both"/>
        <w:ind w:left="-20" w:right="120" w:firstLine="656"/>
        <w:spacing w:after="0" w:line="264" w:lineRule="auto"/>
        <w:tabs>
          <w:tab w:leader="none" w:pos="134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Redemption and Repurchase</w:t>
      </w:r>
      <w:r>
        <w:rPr>
          <w:rFonts w:ascii="Arial" w:cs="Arial" w:eastAsia="Arial" w:hAnsi="Arial"/>
          <w:sz w:val="18"/>
          <w:szCs w:val="18"/>
          <w:color w:val="auto"/>
        </w:rPr>
        <w:t>. The Notes are subject to optional redemption, and may be the subject of a mandatory redemption or offer to purchase, as further described in the Indenture. The Company shall not be required to make mandatory redemption or sinking fund payments with respect to the Notes.</w:t>
      </w:r>
    </w:p>
    <w:p>
      <w:pPr>
        <w:spacing w:after="0" w:line="181" w:lineRule="exact"/>
        <w:rPr>
          <w:rFonts w:ascii="Arial" w:cs="Arial" w:eastAsia="Arial" w:hAnsi="Arial"/>
          <w:sz w:val="18"/>
          <w:szCs w:val="18"/>
          <w:color w:val="auto"/>
        </w:rPr>
      </w:pPr>
    </w:p>
    <w:p>
      <w:pPr>
        <w:ind w:left="-20" w:firstLine="656"/>
        <w:spacing w:after="0" w:line="255" w:lineRule="auto"/>
        <w:tabs>
          <w:tab w:leader="none" w:pos="134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The Notes are in registered form without coupons in the denominations of US$2,000 or any integral multiple of US$1,000 in excess thereof. The transfer of Notes may be registered and Notes may be exchanged as provided in the Indenture. The Notes may be presented for exchange or for registration of transfer (duly endorsed or with the form of transfer endorsed thereon duly executed if so required by the Company or the Registrar) at the office of the Registrar or at the office of any transfer agent designated by the Company for such purpose. The Company need not exchange or register the transfer of any Note or portion of a Note selected for redemption, except for the unredeemed portion of any Note being redeemed in part.</w:t>
      </w:r>
    </w:p>
    <w:p>
      <w:pPr>
        <w:spacing w:after="0" w:line="193" w:lineRule="exact"/>
        <w:rPr>
          <w:rFonts w:ascii="Arial" w:cs="Arial" w:eastAsia="Arial" w:hAnsi="Arial"/>
          <w:sz w:val="18"/>
          <w:szCs w:val="18"/>
          <w:color w:val="auto"/>
        </w:rPr>
      </w:pPr>
    </w:p>
    <w:p>
      <w:pPr>
        <w:ind w:left="1360" w:hanging="724"/>
        <w:spacing w:after="0"/>
        <w:tabs>
          <w:tab w:leader="none" w:pos="13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Noteholder may be treated as its owner for all purposes.</w:t>
      </w:r>
    </w:p>
    <w:p>
      <w:pPr>
        <w:spacing w:after="0" w:line="225" w:lineRule="exact"/>
        <w:rPr>
          <w:rFonts w:ascii="Arial" w:cs="Arial" w:eastAsia="Arial" w:hAnsi="Arial"/>
          <w:sz w:val="18"/>
          <w:szCs w:val="18"/>
          <w:color w:val="auto"/>
        </w:rPr>
      </w:pPr>
    </w:p>
    <w:p>
      <w:pPr>
        <w:ind w:left="-20" w:right="20" w:firstLine="656"/>
        <w:spacing w:after="0" w:line="259" w:lineRule="auto"/>
        <w:tabs>
          <w:tab w:leader="none" w:pos="134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Amendments, Supplements and Waivers</w:t>
      </w:r>
      <w:r>
        <w:rPr>
          <w:rFonts w:ascii="Arial" w:cs="Arial" w:eastAsia="Arial" w:hAnsi="Arial"/>
          <w:sz w:val="18"/>
          <w:szCs w:val="18"/>
          <w:color w:val="auto"/>
        </w:rPr>
        <w:t>. The Indenture and the Notes may be amended or supplemented as provided in the Indenture. Any consent or waiver by the Noteholders as provided in the Indenture shall be conclusive and binding upon such Holders and upon all future Noteholders and holders of any security issued upon the registration of transfer hereof or in exchange herefor or in lieu hereof, whether or not notation of such consent or waiver is made upon the Notes.</w:t>
      </w:r>
    </w:p>
    <w:p>
      <w:pPr>
        <w:spacing w:after="0" w:line="186" w:lineRule="exact"/>
        <w:rPr>
          <w:rFonts w:ascii="Arial" w:cs="Arial" w:eastAsia="Arial" w:hAnsi="Arial"/>
          <w:sz w:val="18"/>
          <w:szCs w:val="18"/>
          <w:color w:val="auto"/>
        </w:rPr>
      </w:pPr>
    </w:p>
    <w:p>
      <w:pPr>
        <w:ind w:left="-20" w:right="20" w:firstLine="656"/>
        <w:spacing w:after="0" w:line="264" w:lineRule="auto"/>
        <w:tabs>
          <w:tab w:leader="none" w:pos="134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The Events of Default relating to the Notes are defined in Section 7.01 of the Base Indenture. Upon the occurrence of an Event of Default, the rights and obligations of the Company, the Trustee and the Noteholders shall be as set forth in the applicable provisions of the Indenture.</w:t>
      </w:r>
    </w:p>
    <w:p>
      <w:pPr>
        <w:spacing w:after="0" w:line="181" w:lineRule="exact"/>
        <w:rPr>
          <w:rFonts w:ascii="Arial" w:cs="Arial" w:eastAsia="Arial" w:hAnsi="Arial"/>
          <w:sz w:val="18"/>
          <w:szCs w:val="18"/>
          <w:color w:val="auto"/>
        </w:rPr>
      </w:pPr>
    </w:p>
    <w:p>
      <w:pPr>
        <w:ind w:left="-20" w:right="100" w:firstLine="656"/>
        <w:spacing w:after="0" w:line="276" w:lineRule="auto"/>
        <w:tabs>
          <w:tab w:leader="none" w:pos="1303"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No Recourse Against Others</w:t>
      </w:r>
      <w:r>
        <w:rPr>
          <w:rFonts w:ascii="Arial" w:cs="Arial" w:eastAsia="Arial" w:hAnsi="Arial"/>
          <w:sz w:val="17"/>
          <w:szCs w:val="17"/>
          <w:color w:val="auto"/>
        </w:rPr>
        <w:t>. No recourse under or upon any obligation, covenant or agreement contained in the Indenture or the Notes,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hereof and as part of the consideration for the issue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31" w:name="page132"/>
    <w:bookmarkEnd w:id="131"/>
    <w:p>
      <w:pPr>
        <w:ind w:left="-160" w:right="760" w:firstLine="656"/>
        <w:spacing w:after="0" w:line="277" w:lineRule="auto"/>
        <w:tabs>
          <w:tab w:leader="none" w:pos="115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left="-160" w:firstLine="656"/>
        <w:spacing w:after="0" w:line="264" w:lineRule="auto"/>
        <w:tabs>
          <w:tab w:leader="none" w:pos="1163"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Base Indenture, the Supplemental Indenture and this Note shall be deemed to be contracts made under the law of the State of New York, and for all purposes shall be governed by and construed in accordance with the law of said State (without regard to conflicts of laws principles thereof that would permit the application of the laws of another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400" w:top="341" w:right="399" w:bottom="1440" w:gutter="0" w:footer="0" w:header="0"/>
        </w:sectPr>
      </w:pPr>
    </w:p>
    <w:bookmarkStart w:id="132" w:name="page133"/>
    <w:bookmarkEnd w:id="132"/>
    <w:p>
      <w:pPr>
        <w:jc w:val="center"/>
        <w:ind w:right="-27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3"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Attorney to transfer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Note on the books of the Issuer,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NOTICE: The signature to this assignment must correspond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-116205</wp:posOffset>
            </wp:positionV>
            <wp:extent cx="67576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name as written upon the face of the within Note in every particular</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without alteration or enlargement or any change whatsoever.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u w:val="single" w:color="auto"/>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341" w:right="5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SCHEDULE OF INCREASES OR DECREASES IN NOTE*</w:t>
      </w:r>
    </w:p>
    <w:p>
      <w:pPr>
        <w:spacing w:after="0" w:line="225" w:lineRule="exact"/>
        <w:rPr>
          <w:sz w:val="20"/>
          <w:szCs w:val="20"/>
          <w:color w:val="auto"/>
        </w:rPr>
      </w:pPr>
    </w:p>
    <w:p>
      <w:pPr>
        <w:ind w:left="660"/>
        <w:spacing w:after="0"/>
        <w:tabs>
          <w:tab w:leader="none" w:pos="4440" w:val="left"/>
        </w:tabs>
        <w:rPr>
          <w:sz w:val="20"/>
          <w:szCs w:val="20"/>
          <w:color w:val="auto"/>
        </w:rPr>
      </w:pPr>
      <w:r>
        <w:rPr>
          <w:rFonts w:ascii="Arial" w:cs="Arial" w:eastAsia="Arial" w:hAnsi="Arial"/>
          <w:sz w:val="18"/>
          <w:szCs w:val="18"/>
          <w:color w:val="auto"/>
        </w:rPr>
        <w:t>The initial principal amount of this Note is US$</w:t>
      </w:r>
      <w:r>
        <w:rPr>
          <w:sz w:val="20"/>
          <w:szCs w:val="20"/>
          <w:color w:val="auto"/>
        </w:rPr>
        <w:tab/>
      </w:r>
      <w:r>
        <w:rPr>
          <w:rFonts w:ascii="Arial" w:cs="Arial" w:eastAsia="Arial" w:hAnsi="Arial"/>
          <w:sz w:val="16"/>
          <w:szCs w:val="16"/>
          <w:color w:val="auto"/>
        </w:rPr>
        <w:t>. The following increases or decreases in a part of this Note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of this</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principal</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principal</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Note following</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amount of this</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amount of this</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such decrease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Insert in Global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8/F, QIHAO Plaza, No. 8 Xinyuan 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20 June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Weibo Corporation</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acted as Cayman Islands legal advisers to Weibo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under the U.S. Securities Act of 1933, as amended to date, in connection with the issuance and sale from time to time, in one or more series of debt securities of the Company (together,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are to be issued under an indenture to be entered into between the Company and Deutsche Bank Trust Company Americas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Exhibits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Certificate of Incorporation of the Company dated 7 June 2010 and the Certificate of Incorporation on Change of Name of the Company dated 6 July 2012.</w:t>
      </w:r>
    </w:p>
    <w:p>
      <w:pPr>
        <w:spacing w:after="0" w:line="170" w:lineRule="exact"/>
        <w:rPr>
          <w:sz w:val="20"/>
          <w:szCs w:val="20"/>
          <w:color w:val="auto"/>
        </w:rPr>
      </w:pPr>
    </w:p>
    <w:p>
      <w:pPr>
        <w:ind w:left="660" w:right="140" w:hanging="647"/>
        <w:spacing w:after="0" w:line="286"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Second Amended and Restated Memorandum and Articles of Association of the Company as adopted by special resolution passed on 28 March 2014 and effective immediately prior to the closing of the Company’s initial public offering of American Depositary Shares representing the Class A ordinary shares, par value US$0.00025 each, of the Company (the “</w:t>
      </w:r>
      <w:r>
        <w:rPr>
          <w:rFonts w:ascii="Arial" w:cs="Arial" w:eastAsia="Arial" w:hAnsi="Arial"/>
          <w:sz w:val="17"/>
          <w:szCs w:val="17"/>
          <w:b w:val="1"/>
          <w:bCs w:val="1"/>
          <w:color w:val="auto"/>
        </w:rPr>
        <w:t>Memorandum and Articles of Association</w:t>
      </w:r>
      <w:r>
        <w:rPr>
          <w:rFonts w:ascii="Arial" w:cs="Arial" w:eastAsia="Arial" w:hAnsi="Arial"/>
          <w:sz w:val="17"/>
          <w:szCs w:val="17"/>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written resolutions of the Board of Directors of the Company dated 20 June 2019 (the “</w:t>
      </w:r>
      <w:r>
        <w:rPr>
          <w:rFonts w:ascii="Arial" w:cs="Arial" w:eastAsia="Arial" w:hAnsi="Arial"/>
          <w:sz w:val="16"/>
          <w:szCs w:val="16"/>
          <w:b w:val="1"/>
          <w:bCs w:val="1"/>
          <w:color w:val="auto"/>
        </w:rPr>
        <w:t>Board Resolutions</w:t>
      </w:r>
      <w:r>
        <w:rPr>
          <w:rFonts w:ascii="Arial" w:cs="Arial" w:eastAsia="Arial" w:hAnsi="Arial"/>
          <w:sz w:val="16"/>
          <w:szCs w:val="16"/>
          <w:color w:val="auto"/>
        </w:rPr>
        <w:t>”).</w:t>
      </w:r>
    </w:p>
    <w:p>
      <w:pPr>
        <w:spacing w:after="0" w:line="225" w:lineRule="exact"/>
        <w:rPr>
          <w:sz w:val="20"/>
          <w:szCs w:val="20"/>
          <w:color w:val="auto"/>
        </w:rPr>
      </w:pPr>
    </w:p>
    <w:p>
      <w:pPr>
        <w:ind w:left="660" w:right="700" w:hanging="647"/>
        <w:spacing w:after="0" w:line="282"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 certificate from a Director of the Company addressed to this firm dated 20 June 2019, a copy of which is attached hereto (the “</w:t>
      </w:r>
      <w:r>
        <w:rPr>
          <w:rFonts w:ascii="Arial" w:cs="Arial" w:eastAsia="Arial" w:hAnsi="Arial"/>
          <w:sz w:val="18"/>
          <w:szCs w:val="18"/>
          <w:b w:val="1"/>
          <w:bCs w:val="1"/>
          <w:color w:val="auto"/>
        </w:rPr>
        <w:t>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w:t>
      </w:r>
      <w:r>
        <w:rPr>
          <w:rFonts w:ascii="Arial" w:cs="Arial" w:eastAsia="Arial" w:hAnsi="Arial"/>
          <w:sz w:val="18"/>
          <w:szCs w:val="18"/>
          <w:color w:val="auto"/>
        </w:rPr>
        <w:t>”).</w:t>
      </w:r>
    </w:p>
    <w:p>
      <w:pPr>
        <w:spacing w:after="0" w:line="162" w:lineRule="exact"/>
        <w:rPr>
          <w:sz w:val="20"/>
          <w:szCs w:val="20"/>
          <w:color w:val="auto"/>
        </w:rPr>
      </w:pPr>
    </w:p>
    <w:p>
      <w:pPr>
        <w:ind w:left="660" w:right="760" w:hanging="647"/>
        <w:spacing w:after="0" w:line="282"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A Certificate of Good Standing dated 14 June 2019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5" w:name="page136"/>
    <w:bookmarkEnd w:id="135"/>
    <w:p>
      <w:pPr>
        <w:ind w:right="120"/>
        <w:spacing w:after="0" w:line="264" w:lineRule="auto"/>
        <w:rPr>
          <w:sz w:val="20"/>
          <w:szCs w:val="20"/>
          <w:color w:val="auto"/>
        </w:rPr>
      </w:pPr>
      <w:r>
        <w:rPr>
          <w:rFonts w:ascii="Arial" w:cs="Arial" w:eastAsia="Arial" w:hAnsi="Arial"/>
          <w:sz w:val="18"/>
          <w:szCs w:val="18"/>
          <w:color w:val="auto"/>
        </w:rPr>
        <w:t>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Copies of documents, conformed copies or drafts of documents provided to us are true and complete copies of, or in the final forms of, the originals.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All signatures, initials and seals are genuine.</w:t>
      </w:r>
    </w:p>
    <w:p>
      <w:pPr>
        <w:spacing w:after="0" w:line="225" w:lineRule="exact"/>
        <w:rPr>
          <w:sz w:val="20"/>
          <w:szCs w:val="20"/>
          <w:color w:val="auto"/>
        </w:rPr>
      </w:pPr>
    </w:p>
    <w:p>
      <w:pPr>
        <w:ind w:left="660" w:right="200" w:hanging="647"/>
        <w:spacing w:after="0" w:line="342"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Securities are, or will be, legal, valid, binding and enforceable against all relevant parties in accordance with their terms under the laws of the State of New York (the “</w:t>
      </w:r>
      <w:r>
        <w:rPr>
          <w:rFonts w:ascii="Arial" w:cs="Arial" w:eastAsia="Arial" w:hAnsi="Arial"/>
          <w:sz w:val="16"/>
          <w:szCs w:val="16"/>
          <w:b w:val="1"/>
          <w:bCs w:val="1"/>
          <w:color w:val="auto"/>
        </w:rPr>
        <w:t>Relevant Law</w:t>
      </w:r>
      <w:r>
        <w:rPr>
          <w:rFonts w:ascii="Arial" w:cs="Arial" w:eastAsia="Arial" w:hAnsi="Arial"/>
          <w:sz w:val="16"/>
          <w:szCs w:val="16"/>
          <w:color w:val="auto"/>
        </w:rPr>
        <w:t>”) and all other relevant laws (other than, with respect to the Company, the laws of the Cayman Islands).</w:t>
      </w:r>
    </w:p>
    <w:p>
      <w:pPr>
        <w:spacing w:after="0" w:line="124"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The capacity, power, authority and legal right of all parties under all relevant laws and regulations (other than, with respect to the Company, the laws of the Cayman Islands) to enter into, execute, unconditionally deliver and perform their respective obligations under the Securities.</w:t>
      </w:r>
    </w:p>
    <w:p>
      <w:pPr>
        <w:spacing w:after="0" w:line="147"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There is nothing contained in the minute book or corporate records of the Company (which we have not inspected) which would or might affect the opinions set out below.</w:t>
      </w:r>
    </w:p>
    <w:p>
      <w:pPr>
        <w:spacing w:after="0" w:line="170"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Securities.</w:t>
      </w:r>
    </w:p>
    <w:p>
      <w:pPr>
        <w:spacing w:after="0" w:line="170" w:lineRule="exact"/>
        <w:rPr>
          <w:sz w:val="20"/>
          <w:szCs w:val="20"/>
          <w:color w:val="auto"/>
        </w:rPr>
      </w:pPr>
    </w:p>
    <w:p>
      <w:pPr>
        <w:ind w:left="660" w:right="140" w:hanging="647"/>
        <w:spacing w:after="0" w:line="259"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No monies paid to or for the account of any party under the Transaction Documents or any property received or disposed of by any party to the Transaction Documents in each case in connection with the Transaction Documents or the consummation of the transactions contemplated thereby represent or will represent proceeds of criminal conduct or criminal property or terrorist property (as defined in the Proceeds of Crime Law (2019 Revision) and the Terrorism Law (2018 Revision), respectively).</w:t>
      </w:r>
    </w:p>
    <w:p>
      <w:pPr>
        <w:spacing w:after="0" w:line="187"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There is nothing under any law (other than the law of the Cayman Islands) which would or might affect the opinions set out below. Specifically, we have made no independent investigation of the Relevant Law.</w:t>
      </w:r>
    </w:p>
    <w:p>
      <w:pPr>
        <w:spacing w:after="0" w:line="166"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170"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70" w:lineRule="exact"/>
        <w:rPr>
          <w:sz w:val="20"/>
          <w:szCs w:val="20"/>
          <w:color w:val="auto"/>
        </w:rPr>
      </w:pPr>
    </w:p>
    <w:p>
      <w:pPr>
        <w:ind w:left="660" w:right="40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issuance, delivery and performance of the Securities have been duly authorised by and on behalf of the Company, and when the Securities have been authenticated in the manner set forth in the Indenture relating to such issue of Securities, the Securities have been duly executed, issued and delivered on behalf of the Company and constitute the legal, valid and binding obligations of the Company enforceable in accordance with their terms.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36" w:name="page137"/>
    <w:bookmarkEnd w:id="136"/>
    <w:p>
      <w:pPr>
        <w:ind w:left="660" w:right="780" w:hanging="647"/>
        <w:spacing w:after="0" w:line="308"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143"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225"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obligations assumed by the Company under the Securities will not necessarily be enforceable in all circumstances in accordance with their terms. In particular:</w:t>
      </w:r>
    </w:p>
    <w:p>
      <w:pPr>
        <w:spacing w:after="0" w:line="170" w:lineRule="exact"/>
        <w:rPr>
          <w:sz w:val="20"/>
          <w:szCs w:val="20"/>
          <w:color w:val="auto"/>
        </w:rPr>
      </w:pPr>
    </w:p>
    <w:p>
      <w:pPr>
        <w:ind w:left="1300" w:right="260" w:hanging="644"/>
        <w:spacing w:after="0" w:line="277" w:lineRule="auto"/>
        <w:tabs>
          <w:tab w:leader="none" w:pos="128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170" w:lineRule="exact"/>
        <w:rPr>
          <w:rFonts w:ascii="Arial" w:cs="Arial" w:eastAsia="Arial" w:hAnsi="Arial"/>
          <w:sz w:val="18"/>
          <w:szCs w:val="18"/>
          <w:color w:val="auto"/>
        </w:rPr>
      </w:pPr>
    </w:p>
    <w:p>
      <w:pPr>
        <w:ind w:left="1300" w:right="380" w:hanging="644"/>
        <w:spacing w:after="0" w:line="277" w:lineRule="auto"/>
        <w:tabs>
          <w:tab w:leader="none" w:pos="129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enforcement may be limited by general principles of equity. For example, equitable remedies such as specific performance may not be available, inter alia, where damages are considered to be an adequate remedy;</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29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some claims may become barred under relevant statutes of limitation or may be or become subject to defences of set off, counterclaim, estoppel and similar defences;</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29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70" w:lineRule="exact"/>
        <w:rPr>
          <w:rFonts w:ascii="Arial" w:cs="Arial" w:eastAsia="Arial" w:hAnsi="Arial"/>
          <w:sz w:val="18"/>
          <w:szCs w:val="18"/>
          <w:color w:val="auto"/>
        </w:rPr>
      </w:pPr>
    </w:p>
    <w:p>
      <w:pPr>
        <w:ind w:left="1300" w:right="80" w:hanging="644"/>
        <w:spacing w:after="0" w:line="276" w:lineRule="auto"/>
        <w:tabs>
          <w:tab w:leader="none" w:pos="129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arrangements that constitute penalties will not be enforceable;</w:t>
      </w:r>
    </w:p>
    <w:p>
      <w:pPr>
        <w:spacing w:after="0" w:line="225" w:lineRule="exact"/>
        <w:rPr>
          <w:rFonts w:ascii="Arial" w:cs="Arial" w:eastAsia="Arial" w:hAnsi="Arial"/>
          <w:sz w:val="18"/>
          <w:szCs w:val="18"/>
          <w:color w:val="auto"/>
        </w:rPr>
      </w:pPr>
    </w:p>
    <w:p>
      <w:pPr>
        <w:ind w:left="1300" w:hanging="644"/>
        <w:spacing w:after="0" w:line="277" w:lineRule="auto"/>
        <w:tabs>
          <w:tab w:leader="none" w:pos="130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enforcement may be prevented by reason of fraud, coercion, duress, undue influence, misrepresentation, public policy or mistake or limited by the doctrine of frustration of contracts;</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29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provisions imposing confidentiality obligations may be overridden by compulsion of applicable law or the requirements of legal and/or regulatory process;</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courts of the Cayman Islands may decline to exercise jurisdiction in relation to substantive proceedings brought under or in relation to the Securities in matters where they determine that such proceedings may be tried in a more appropriate forum;</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29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we reserve our opinion as to the enforceability of the relevant provisions of the Securities to the extent that they purport to grant exclusive jurisdiction as there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7" w:name="page138"/>
    <w:bookmarkEnd w:id="137"/>
    <w:p>
      <w:pPr>
        <w:ind w:left="1300"/>
        <w:spacing w:after="0"/>
        <w:rPr>
          <w:sz w:val="20"/>
          <w:szCs w:val="20"/>
          <w:color w:val="auto"/>
        </w:rPr>
      </w:pPr>
      <w:r>
        <w:rPr>
          <w:rFonts w:ascii="Arial" w:cs="Arial" w:eastAsia="Arial" w:hAnsi="Arial"/>
          <w:sz w:val="18"/>
          <w:szCs w:val="18"/>
          <w:color w:val="auto"/>
        </w:rPr>
        <w:t>may be circumstances in which the courts of the Cayman Islands would accept jurisdiction notwithstanding such provisions;</w:t>
      </w:r>
    </w:p>
    <w:p>
      <w:pPr>
        <w:spacing w:after="0" w:line="225" w:lineRule="exact"/>
        <w:rPr>
          <w:sz w:val="20"/>
          <w:szCs w:val="20"/>
          <w:color w:val="auto"/>
        </w:rPr>
      </w:pPr>
    </w:p>
    <w:p>
      <w:pPr>
        <w:ind w:left="1300" w:right="120" w:hanging="644"/>
        <w:spacing w:after="0" w:line="257" w:lineRule="auto"/>
        <w:tabs>
          <w:tab w:leader="none" w:pos="129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company cannot, by agreement or in its articles of association, restrict the exercise of a statutory power and there is doubt as to the enforceability of any provision in the Securities whereby the Company covenants to restrict the exercise of powers specifically given to it under the Companies Law (2018 Revision) of the Cayman Islands (the “</w:t>
      </w:r>
      <w:r>
        <w:rPr>
          <w:rFonts w:ascii="Arial" w:cs="Arial" w:eastAsia="Arial" w:hAnsi="Arial"/>
          <w:sz w:val="18"/>
          <w:szCs w:val="18"/>
          <w:b w:val="1"/>
          <w:bCs w:val="1"/>
          <w:color w:val="auto"/>
        </w:rPr>
        <w:t>Companies Law</w:t>
      </w:r>
      <w:r>
        <w:rPr>
          <w:rFonts w:ascii="Arial" w:cs="Arial" w:eastAsia="Arial" w:hAnsi="Arial"/>
          <w:sz w:val="18"/>
          <w:szCs w:val="18"/>
          <w:color w:val="auto"/>
        </w:rPr>
        <w:t>”), including, without limitation, the power to increase its authorised share capital, amend its memorandum and articles of association or present a petition to a Cayman Islands court for an order to wind up the Company;</w:t>
      </w:r>
    </w:p>
    <w:p>
      <w:pPr>
        <w:spacing w:after="0" w:line="188" w:lineRule="exact"/>
        <w:rPr>
          <w:rFonts w:ascii="Arial" w:cs="Arial" w:eastAsia="Arial" w:hAnsi="Arial"/>
          <w:sz w:val="18"/>
          <w:szCs w:val="18"/>
          <w:color w:val="auto"/>
        </w:rPr>
      </w:pPr>
    </w:p>
    <w:p>
      <w:pPr>
        <w:ind w:left="1300" w:right="300" w:hanging="644"/>
        <w:spacing w:after="0" w:line="259" w:lineRule="auto"/>
        <w:tabs>
          <w:tab w:leader="none" w:pos="132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 Company becomes subject to Part XVIIA of the Companies Law, enforcement or performance of any provision in the Securities which relates, directly or indirectly, to an interest in the Company constituting shares, voting rights or director appointment rights in the Company may be prohibited or restricted if any such relevant interest is or becomes subject to a restrictions notice issued under the Companies Law; and</w:t>
      </w:r>
    </w:p>
    <w:p>
      <w:pPr>
        <w:spacing w:after="0" w:line="186" w:lineRule="exact"/>
        <w:rPr>
          <w:rFonts w:ascii="Arial" w:cs="Arial" w:eastAsia="Arial" w:hAnsi="Arial"/>
          <w:sz w:val="18"/>
          <w:szCs w:val="18"/>
          <w:color w:val="auto"/>
        </w:rPr>
      </w:pPr>
    </w:p>
    <w:p>
      <w:pPr>
        <w:ind w:left="1300" w:right="40" w:hanging="644"/>
        <w:spacing w:after="0" w:line="279" w:lineRule="auto"/>
        <w:tabs>
          <w:tab w:leader="none" w:pos="130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enforcement or performance of any provision in the Securities which relates, directly or indirectly, to an interest in a Cayman Islands company or limited liability company constituting shares, membership interests, voting rights or director or manager appointment rights in respect of such company or limited liability company may be prohibited or restricted if any such relevant interest is or becomes subject to a restrictions notice issued under the Companies Law or the Limited Liability Companies Law (2018 Revision).</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Applicable court fees will be payable in respect of the enforcement of the Securities.</w:t>
      </w:r>
    </w:p>
    <w:p>
      <w:pPr>
        <w:spacing w:after="0" w:line="225"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70" w:lineRule="exact"/>
        <w:rPr>
          <w:sz w:val="20"/>
          <w:szCs w:val="20"/>
          <w:color w:val="auto"/>
        </w:rPr>
      </w:pPr>
    </w:p>
    <w:p>
      <w:pPr>
        <w:jc w:val="both"/>
        <w:ind w:left="660" w:right="200" w:hanging="647"/>
        <w:spacing w:after="0" w:line="264"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 certificate, determination, calculation or designation of any party to the Securities as to any matter provided therein might be held by a Cayman Islands court not to be conclusive final and binding if, for example, it could be shown to have an unreasonable or arbitrary basis, or in the event of manifest error.</w:t>
      </w:r>
    </w:p>
    <w:p>
      <w:pPr>
        <w:spacing w:after="0" w:line="181" w:lineRule="exact"/>
        <w:rPr>
          <w:sz w:val="20"/>
          <w:szCs w:val="20"/>
          <w:color w:val="auto"/>
        </w:rPr>
      </w:pPr>
    </w:p>
    <w:p>
      <w:pPr>
        <w:ind w:left="660" w:right="160" w:hanging="647"/>
        <w:spacing w:after="0" w:line="264"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obligations of the Company may be subject to restrictions pursuant to United Nations sanctions as implemented under the laws of the Cayman Islands and/or restrictive measures adopted by the European Union Council for Common Foreign and Security Policy extended to the Cayman Islands by the Order of Her Majesty in Council.</w:t>
      </w:r>
    </w:p>
    <w:p>
      <w:pPr>
        <w:spacing w:after="0" w:line="181"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We express no opinion as to the meaning, validity or effect of any references to foreign (i.e. non-Cayman Islands) statutes, rules, regulations, codes, judicial authority or any other promulgations and any references to them in the Securities.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10036-6522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 735-3000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(212) 735-2000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www.skadden.com</w:t>
      </w:r>
    </w:p>
    <w:p>
      <w:pPr>
        <w:spacing w:after="0" w:line="211"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20,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8/F, QIHAO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Xinyuan South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Weibo Corporation—Registration Statement on Form F-3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acted as special United States counsel to Weibo Corporation, an exempted company with limited liability incorporated under the laws of the Cayman Islands (the “Company”), in connection with the registration statement on Form F-3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debt securities of the Company (the “Securities”), which may be issued in one or more series under an indenture (the “Indenture”) to be entered into between the Company and Deutsche Bank Trust Company Americas, as trustee (in such capacity the “Trustee”).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stated herein, we have examined and relied upon the Registration Statement and an executed copy of the Indenture.</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9" w:name="page140"/>
    <w:bookmarkEnd w:id="139"/>
    <w:p>
      <w:pPr>
        <w:jc w:val="both"/>
        <w:ind w:right="140"/>
        <w:spacing w:after="0" w:line="297" w:lineRule="auto"/>
        <w:rPr>
          <w:sz w:val="20"/>
          <w:szCs w:val="20"/>
          <w:color w:val="auto"/>
        </w:rPr>
      </w:pPr>
      <w:r>
        <w:rPr>
          <w:rFonts w:ascii="Arial" w:cs="Arial" w:eastAsia="Arial" w:hAnsi="Arial"/>
          <w:sz w:val="16"/>
          <w:szCs w:val="16"/>
          <w:color w:val="auto"/>
        </w:rPr>
        <w:t>We do not express any opinion with respect to the laws of any jurisdiction other than (i) the laws of the State of New York, and (ii)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as to the effect of any non-Opined on Law on the opinions stated herein. The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5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used herein, “Transaction Agreements” means the Indenture and the supplemental indentures thereto and any applicable underwriting or purchase agreement.</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opinion stated below presumes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Agreements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Agreements and the issuance and sale of such Securities have been duly established in conformity with the memorandum and articles of association of the Company so as not to violate any applicable law or the memorandum and articles of association of the Company, or result in a default under or breach of any agreement or instrument binding upon the Company, and so as to comply with any requirement or restriction imposed by any court or governmental body having jurisdiction over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any series of Securities offered by the Company (the “Offered Debt Securities”), when (i) the general conditions shall have been satisfied,</w:t>
      </w:r>
    </w:p>
    <w:p>
      <w:pPr>
        <w:spacing w:after="0" w:line="46" w:lineRule="exact"/>
        <w:rPr>
          <w:sz w:val="20"/>
          <w:szCs w:val="20"/>
          <w:color w:val="auto"/>
        </w:rPr>
      </w:pPr>
    </w:p>
    <w:p>
      <w:pPr>
        <w:ind w:right="220" w:firstLine="8"/>
        <w:spacing w:after="0" w:line="290" w:lineRule="auto"/>
        <w:tabs>
          <w:tab w:leader="none" w:pos="26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issuance, sale and terms of the Offered Debt Securities and related matters have been approved and established in conformity with the applicable Transaction Agreements and (iii) the certificates evidencing the Offered Debt Securities have been issued in a form that complies with the provisions of the applicable Transaction Agreements and have been duly executed and authenticated in accordance with the provisions of the Indenture and any other applicable Transaction Agreements and issued and sold or otherwise distributed in accordance with the provisions of the applicable Transaction Agreement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0" w:name="page141"/>
    <w:bookmarkEnd w:id="140"/>
    <w:p>
      <w:pPr>
        <w:ind w:firstLine="656"/>
        <w:spacing w:after="0" w:line="264" w:lineRule="auto"/>
        <w:tabs>
          <w:tab w:leader="none" w:pos="129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181" w:lineRule="exact"/>
        <w:rPr>
          <w:rFonts w:ascii="Arial" w:cs="Arial" w:eastAsia="Arial" w:hAnsi="Arial"/>
          <w:sz w:val="18"/>
          <w:szCs w:val="18"/>
          <w:color w:val="auto"/>
        </w:rPr>
      </w:pPr>
    </w:p>
    <w:p>
      <w:pPr>
        <w:ind w:right="40" w:firstLine="656"/>
        <w:spacing w:after="0" w:line="264" w:lineRule="auto"/>
        <w:tabs>
          <w:tab w:leader="none" w:pos="13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Agreements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81" w:lineRule="exact"/>
        <w:rPr>
          <w:rFonts w:ascii="Arial" w:cs="Arial" w:eastAsia="Arial" w:hAnsi="Arial"/>
          <w:sz w:val="18"/>
          <w:szCs w:val="18"/>
          <w:color w:val="auto"/>
        </w:rPr>
      </w:pPr>
    </w:p>
    <w:p>
      <w:pPr>
        <w:ind w:firstLine="656"/>
        <w:spacing w:after="0" w:line="308" w:lineRule="auto"/>
        <w:tabs>
          <w:tab w:leader="none" w:pos="130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pacing w:after="0" w:line="146" w:lineRule="exact"/>
        <w:rPr>
          <w:rFonts w:ascii="Arial" w:cs="Arial" w:eastAsia="Arial" w:hAnsi="Arial"/>
          <w:sz w:val="17"/>
          <w:szCs w:val="17"/>
          <w:color w:val="auto"/>
        </w:rPr>
      </w:pPr>
    </w:p>
    <w:p>
      <w:pPr>
        <w:ind w:right="120" w:firstLine="656"/>
        <w:spacing w:after="0" w:line="259" w:lineRule="auto"/>
        <w:tabs>
          <w:tab w:leader="none" w:pos="13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86" w:lineRule="exact"/>
        <w:rPr>
          <w:rFonts w:ascii="Arial" w:cs="Arial" w:eastAsia="Arial" w:hAnsi="Arial"/>
          <w:sz w:val="18"/>
          <w:szCs w:val="18"/>
          <w:color w:val="auto"/>
        </w:rPr>
      </w:pPr>
    </w:p>
    <w:p>
      <w:pPr>
        <w:ind w:right="380" w:firstLine="656"/>
        <w:spacing w:after="0" w:line="277" w:lineRule="auto"/>
        <w:tabs>
          <w:tab w:leader="none" w:pos="130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of any Transaction Agreement to the extent that such section purports to bind any Opinion Party to the exclusive jurisdiction of any particular federal court or courts;</w:t>
      </w:r>
    </w:p>
    <w:p>
      <w:pPr>
        <w:spacing w:after="0" w:line="170" w:lineRule="exact"/>
        <w:rPr>
          <w:rFonts w:ascii="Arial" w:cs="Arial" w:eastAsia="Arial" w:hAnsi="Arial"/>
          <w:sz w:val="18"/>
          <w:szCs w:val="18"/>
          <w:color w:val="auto"/>
        </w:rPr>
      </w:pPr>
    </w:p>
    <w:p>
      <w:pPr>
        <w:ind w:right="60" w:firstLine="656"/>
        <w:spacing w:after="0" w:line="259" w:lineRule="auto"/>
        <w:tabs>
          <w:tab w:leader="none" w:pos="130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call to your attention that irrespective of the agreement of the parties to any Transaction Agreement,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w:t>
      </w:r>
    </w:p>
    <w:p>
      <w:pPr>
        <w:spacing w:after="0" w:line="186" w:lineRule="exact"/>
        <w:rPr>
          <w:rFonts w:ascii="Arial" w:cs="Arial" w:eastAsia="Arial" w:hAnsi="Arial"/>
          <w:sz w:val="18"/>
          <w:szCs w:val="18"/>
          <w:color w:val="auto"/>
        </w:rPr>
      </w:pPr>
    </w:p>
    <w:p>
      <w:pPr>
        <w:ind w:right="100" w:firstLine="656"/>
        <w:spacing w:after="0" w:line="264" w:lineRule="auto"/>
        <w:tabs>
          <w:tab w:leader="none" w:pos="131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have assumed that any agent of service will have accepted appointment as agent to receive service of process and call to your attention that we do not express any opinion if and to the extent such agent shall resign such appointment; in addition, we do not express any opinion with respect to the irrevocability of the designation of such agent to receive service of process;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we have assumed that the choice of New York law to govern the Indenture and any supplemental indenture thereto is a valid and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we have assumed that any Securities that may be issued will be manually authenticated by duly authorized officers of any trustee;</w:t>
      </w:r>
    </w:p>
    <w:p>
      <w:pPr>
        <w:spacing w:after="0" w:line="236" w:lineRule="exact"/>
        <w:rPr>
          <w:rFonts w:ascii="Arial" w:cs="Arial" w:eastAsia="Arial" w:hAnsi="Arial"/>
          <w:sz w:val="17"/>
          <w:szCs w:val="17"/>
          <w:color w:val="auto"/>
        </w:rPr>
      </w:pPr>
    </w:p>
    <w:p>
      <w:pPr>
        <w:ind w:right="100" w:firstLine="656"/>
        <w:spacing w:after="0" w:line="277" w:lineRule="auto"/>
        <w:tabs>
          <w:tab w:leader="none" w:pos="13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call to your attention that the opinions stated herein are subject to possible judicial action giving effect to governmental actions or laws of jurisdictions other than those with respect to which we express our opinion;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1" w:name="page142"/>
    <w:bookmarkEnd w:id="141"/>
    <w:p>
      <w:pPr>
        <w:ind w:right="300" w:firstLine="656"/>
        <w:spacing w:after="0" w:line="264" w:lineRule="auto"/>
        <w:tabs>
          <w:tab w:leader="none" w:pos="130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providing for indemnity by any party thereto against any loss in obtaining the currency due to such party under any Transaction Agreement from a court judgment in another currency;</w:t>
      </w:r>
    </w:p>
    <w:p>
      <w:pPr>
        <w:spacing w:after="0" w:line="181" w:lineRule="exact"/>
        <w:rPr>
          <w:rFonts w:ascii="Arial" w:cs="Arial" w:eastAsia="Arial" w:hAnsi="Arial"/>
          <w:sz w:val="18"/>
          <w:szCs w:val="18"/>
          <w:color w:val="auto"/>
        </w:rPr>
      </w:pPr>
    </w:p>
    <w:p>
      <w:pPr>
        <w:ind w:right="20" w:firstLine="656"/>
        <w:spacing w:after="0" w:line="264" w:lineRule="auto"/>
        <w:tabs>
          <w:tab w:leader="none" w:pos="13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 and</w:t>
      </w:r>
    </w:p>
    <w:p>
      <w:pPr>
        <w:spacing w:after="0" w:line="181" w:lineRule="exact"/>
        <w:rPr>
          <w:rFonts w:ascii="Arial" w:cs="Arial" w:eastAsia="Arial" w:hAnsi="Arial"/>
          <w:sz w:val="18"/>
          <w:szCs w:val="18"/>
          <w:color w:val="auto"/>
        </w:rPr>
      </w:pPr>
    </w:p>
    <w:p>
      <w:pPr>
        <w:ind w:right="280" w:firstLine="656"/>
        <w:spacing w:after="0" w:line="291"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to the extent that any opinion relates to the enforceability of the choice of New York law and choice of New York forum provisions contained in any Transaction Agreement, the opinions stated herein are subject to the qualification that such enforceability may be subject to, in each case,</w:t>
      </w:r>
    </w:p>
    <w:p>
      <w:pPr>
        <w:ind w:left="220" w:hanging="212"/>
        <w:spacing w:after="0"/>
        <w:tabs>
          <w:tab w:leader="none" w:pos="2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exceptions and limitations in New York General Obligations Law sections 5-1401 and 5-1402 and (ii) principles of comity and constitutionality.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rendering the foregoing opinions we have assumed that:</w:t>
      </w:r>
    </w:p>
    <w:p>
      <w:pPr>
        <w:spacing w:after="0" w:line="225" w:lineRule="exact"/>
        <w:rPr>
          <w:sz w:val="20"/>
          <w:szCs w:val="20"/>
          <w:color w:val="auto"/>
        </w:rPr>
      </w:pPr>
    </w:p>
    <w:p>
      <w:pPr>
        <w:ind w:right="40" w:firstLine="656"/>
        <w:spacing w:after="0" w:line="312" w:lineRule="auto"/>
        <w:tabs>
          <w:tab w:leader="none" w:pos="129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Agreements to which the Company is a party;</w:t>
      </w:r>
    </w:p>
    <w:p>
      <w:pPr>
        <w:spacing w:after="0" w:line="146" w:lineRule="exact"/>
        <w:rPr>
          <w:rFonts w:ascii="Arial" w:cs="Arial" w:eastAsia="Arial" w:hAnsi="Arial"/>
          <w:sz w:val="16"/>
          <w:szCs w:val="16"/>
          <w:color w:val="auto"/>
        </w:rPr>
      </w:pPr>
    </w:p>
    <w:p>
      <w:pPr>
        <w:ind w:right="620" w:firstLine="656"/>
        <w:spacing w:after="0" w:line="277" w:lineRule="auto"/>
        <w:tabs>
          <w:tab w:leader="none" w:pos="130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to execute, deliver and perform all its obligations under each of the Transaction Agreements to which the Company is a party;</w:t>
      </w:r>
    </w:p>
    <w:p>
      <w:pPr>
        <w:spacing w:after="0" w:line="170" w:lineRule="exact"/>
        <w:rPr>
          <w:rFonts w:ascii="Arial" w:cs="Arial" w:eastAsia="Arial" w:hAnsi="Arial"/>
          <w:sz w:val="18"/>
          <w:szCs w:val="18"/>
          <w:color w:val="auto"/>
        </w:rPr>
      </w:pPr>
    </w:p>
    <w:p>
      <w:pPr>
        <w:ind w:right="20" w:firstLine="656"/>
        <w:spacing w:after="0" w:line="273" w:lineRule="auto"/>
        <w:tabs>
          <w:tab w:leader="none" w:pos="130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to which the Company is a party nor the performance by the Company of its obligations thereunder, including the issuance and sale of the applicable Securities: (i) conflicts or will conflict with the memorandum and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 on Law); and</w:t>
      </w:r>
    </w:p>
    <w:p>
      <w:pPr>
        <w:spacing w:after="0" w:line="178" w:lineRule="exact"/>
        <w:rPr>
          <w:rFonts w:ascii="Arial" w:cs="Arial" w:eastAsia="Arial" w:hAnsi="Arial"/>
          <w:sz w:val="17"/>
          <w:szCs w:val="17"/>
          <w:color w:val="auto"/>
        </w:rPr>
      </w:pPr>
    </w:p>
    <w:p>
      <w:pPr>
        <w:jc w:val="both"/>
        <w:ind w:firstLine="656"/>
        <w:spacing w:after="0" w:line="312" w:lineRule="auto"/>
        <w:tabs>
          <w:tab w:leader="none" w:pos="130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the Transaction Agreements to which the Company is a party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p>
      <w:pPr>
        <w:ind w:right="140"/>
        <w:spacing w:after="0" w:line="255" w:lineRule="auto"/>
        <w:rPr>
          <w:sz w:val="20"/>
          <w:szCs w:val="20"/>
          <w:color w:val="auto"/>
        </w:rPr>
      </w:pPr>
      <w:r>
        <w:rPr>
          <w:rFonts w:ascii="Arial" w:cs="Arial" w:eastAsia="Arial" w:hAnsi="Arial"/>
          <w:sz w:val="18"/>
          <w:szCs w:val="18"/>
          <w:color w:val="auto"/>
        </w:rPr>
        <w:t>In addition, we note that (a) the enforceability in the United States of the waiver in Section 16.14 of the Indenture by the Company of any immunities from court jurisdiction and from legal process is subject to the limitations imposed by the U.S. Foreign Sovereign Immunities Act of 1976 and (b) the designation in Section 16.13 of the Indenture of any U.S. federal or New York State court located in the Borough of Manhattan, The City of New York, as the venue for actions or proceedings relating to the Indenture and the Securities is (notwithstanding the waiver in Section 16.13) subject to the power of such courts to transfer actions pursuant to 28 U.S.C. § 1404(a) or to dismiss such actions or proceedings on the grounds that such a federal court is an inconvenient forum for such actions or proceedings.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reference to our firm under the heading “Legal Matters” in the prospectus forming a part of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on Form F-3 of Weibo Corporation of our report dated April 29, 2019 relating to the financial statements and the effectiveness of internal control over financial reporting, which appears in Weibo Corporation’s Annual Report on Form 20-F for the year ended December 31, 2018. We also consent to the reference to us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154940</wp:posOffset>
            </wp:positionV>
            <wp:extent cx="4271010" cy="15093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427101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8/F, QIHAO Plaza, No. 8 Xinyuan S.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references to our name under the headings “Enforcement of Civil Liabilities” and “Legal Matters” in the prospectus included in the registration statement on Form F-3, originally filed by Weibo Corporation on June 20, 2019 with the Securities and Exchange Commission under the Securities Act of 1933, as amended, and further consent to the incorporation by reference of the summaries of our opinions under the headings “Risk Factors” and “Taxation” into the Supplement Registration Statement.</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TransAsia Lawyers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TransAsia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5" w:name="page146"/>
    <w:bookmarkEnd w:id="145"/>
    <w:p>
      <w:pPr>
        <w:ind w:left="10480"/>
        <w:spacing w:after="0"/>
        <w:rPr>
          <w:sz w:val="20"/>
          <w:szCs w:val="20"/>
          <w:color w:val="auto"/>
        </w:rPr>
      </w:pPr>
      <w:r>
        <w:rPr>
          <w:rFonts w:ascii="Arial" w:cs="Arial" w:eastAsia="Arial" w:hAnsi="Arial"/>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ind w:left="1040" w:right="240"/>
        <w:spacing w:after="0" w:line="256"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63" w:lineRule="exact"/>
        <w:rPr>
          <w:sz w:val="20"/>
          <w:szCs w:val="20"/>
          <w:color w:val="auto"/>
        </w:rPr>
      </w:pPr>
    </w:p>
    <w:p>
      <w:pPr>
        <w:ind w:left="1040" w:right="1040"/>
        <w:spacing w:after="0" w:line="256" w:lineRule="auto"/>
        <w:rPr>
          <w:sz w:val="20"/>
          <w:szCs w:val="20"/>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189230</wp:posOffset>
            </wp:positionV>
            <wp:extent cx="1826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DEUTSCHE BANK TRUST COMPANY AMERICAS</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(formerly BANKERS TRUST COMPANY)</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7"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4760" w:type="dxa"/>
            <w:vAlign w:val="bottom"/>
          </w:tcPr>
          <w:p>
            <w:pPr>
              <w:jc w:val="center"/>
              <w:ind w:right="1770"/>
              <w:spacing w:after="0"/>
              <w:rPr>
                <w:sz w:val="20"/>
                <w:szCs w:val="20"/>
                <w:color w:val="auto"/>
              </w:rPr>
            </w:pPr>
            <w:r>
              <w:rPr>
                <w:rFonts w:ascii="Arial" w:cs="Arial" w:eastAsia="Arial" w:hAnsi="Arial"/>
                <w:sz w:val="18"/>
                <w:szCs w:val="18"/>
                <w:b w:val="1"/>
                <w:bCs w:val="1"/>
                <w:color w:val="auto"/>
              </w:rPr>
              <w:t>NEW YORK</w:t>
            </w:r>
          </w:p>
        </w:tc>
        <w:tc>
          <w:tcPr>
            <w:tcW w:w="3160" w:type="dxa"/>
            <w:vAlign w:val="bottom"/>
          </w:tcPr>
          <w:p>
            <w:pPr>
              <w:jc w:val="right"/>
              <w:ind w:right="130"/>
              <w:spacing w:after="0"/>
              <w:rPr>
                <w:sz w:val="20"/>
                <w:szCs w:val="20"/>
                <w:color w:val="auto"/>
              </w:rPr>
            </w:pPr>
            <w:r>
              <w:rPr>
                <w:rFonts w:ascii="Arial" w:cs="Arial" w:eastAsia="Arial" w:hAnsi="Arial"/>
                <w:sz w:val="18"/>
                <w:szCs w:val="18"/>
                <w:b w:val="1"/>
                <w:bCs w:val="1"/>
                <w:color w:val="auto"/>
              </w:rPr>
              <w:t>13-4941247</w:t>
            </w:r>
          </w:p>
        </w:tc>
      </w:tr>
      <w:tr>
        <w:trPr>
          <w:trHeight w:val="216"/>
        </w:trPr>
        <w:tc>
          <w:tcPr>
            <w:tcW w:w="4760" w:type="dxa"/>
            <w:vAlign w:val="bottom"/>
          </w:tcPr>
          <w:p>
            <w:pPr>
              <w:jc w:val="center"/>
              <w:ind w:right="1770"/>
              <w:spacing w:after="0"/>
              <w:rPr>
                <w:sz w:val="20"/>
                <w:szCs w:val="20"/>
                <w:color w:val="auto"/>
              </w:rPr>
            </w:pPr>
            <w:r>
              <w:rPr>
                <w:rFonts w:ascii="Arial" w:cs="Arial" w:eastAsia="Arial" w:hAnsi="Arial"/>
                <w:sz w:val="18"/>
                <w:szCs w:val="18"/>
                <w:color w:val="auto"/>
                <w:w w:val="93"/>
              </w:rPr>
              <w:t>(Jurisdiction of Incorporation or</w:t>
            </w: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3"/>
              </w:rPr>
              <w:t>(I.R.S. Employer</w:t>
            </w:r>
          </w:p>
        </w:tc>
      </w:tr>
      <w:tr>
        <w:trPr>
          <w:trHeight w:val="230"/>
        </w:trPr>
        <w:tc>
          <w:tcPr>
            <w:tcW w:w="4760" w:type="dxa"/>
            <w:vAlign w:val="bottom"/>
          </w:tcPr>
          <w:p>
            <w:pPr>
              <w:jc w:val="center"/>
              <w:ind w:right="1770"/>
              <w:spacing w:after="0"/>
              <w:rPr>
                <w:sz w:val="20"/>
                <w:szCs w:val="20"/>
                <w:color w:val="auto"/>
              </w:rPr>
            </w:pPr>
            <w:r>
              <w:rPr>
                <w:rFonts w:ascii="Arial" w:cs="Arial" w:eastAsia="Arial" w:hAnsi="Arial"/>
                <w:sz w:val="18"/>
                <w:szCs w:val="18"/>
                <w:color w:val="auto"/>
                <w:w w:val="92"/>
              </w:rPr>
              <w:t>organization if not a U.S. national bank)</w:t>
            </w:r>
          </w:p>
        </w:tc>
        <w:tc>
          <w:tcPr>
            <w:tcW w:w="3160" w:type="dxa"/>
            <w:vAlign w:val="bottom"/>
          </w:tcPr>
          <w:p>
            <w:pPr>
              <w:jc w:val="center"/>
              <w:ind w:left="177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4760" w:type="dxa"/>
            <w:vAlign w:val="bottom"/>
          </w:tcPr>
          <w:p>
            <w:pPr>
              <w:jc w:val="center"/>
              <w:ind w:right="1770"/>
              <w:spacing w:after="0"/>
              <w:rPr>
                <w:sz w:val="20"/>
                <w:szCs w:val="20"/>
                <w:color w:val="auto"/>
              </w:rPr>
            </w:pPr>
            <w:r>
              <w:rPr>
                <w:rFonts w:ascii="Arial" w:cs="Arial" w:eastAsia="Arial" w:hAnsi="Arial"/>
                <w:sz w:val="18"/>
                <w:szCs w:val="18"/>
                <w:b w:val="1"/>
                <w:bCs w:val="1"/>
                <w:color w:val="auto"/>
                <w:w w:val="97"/>
              </w:rPr>
              <w:t>60 WALL STREET</w:t>
            </w:r>
          </w:p>
        </w:tc>
        <w:tc>
          <w:tcPr>
            <w:tcW w:w="3160" w:type="dxa"/>
            <w:vAlign w:val="bottom"/>
          </w:tcPr>
          <w:p>
            <w:pPr>
              <w:spacing w:after="0"/>
              <w:rPr>
                <w:sz w:val="24"/>
                <w:szCs w:val="24"/>
                <w:color w:val="auto"/>
              </w:rPr>
            </w:pPr>
          </w:p>
        </w:tc>
      </w:tr>
      <w:tr>
        <w:trPr>
          <w:trHeight w:val="220"/>
        </w:trPr>
        <w:tc>
          <w:tcPr>
            <w:tcW w:w="4760" w:type="dxa"/>
            <w:vAlign w:val="bottom"/>
          </w:tcPr>
          <w:p>
            <w:pPr>
              <w:jc w:val="center"/>
              <w:ind w:right="1750"/>
              <w:spacing w:after="0"/>
              <w:rPr>
                <w:sz w:val="20"/>
                <w:szCs w:val="20"/>
                <w:color w:val="auto"/>
              </w:rPr>
            </w:pPr>
            <w:r>
              <w:rPr>
                <w:rFonts w:ascii="Arial" w:cs="Arial" w:eastAsia="Arial" w:hAnsi="Arial"/>
                <w:sz w:val="18"/>
                <w:szCs w:val="18"/>
                <w:b w:val="1"/>
                <w:bCs w:val="1"/>
                <w:color w:val="auto"/>
              </w:rPr>
              <w:t>NEW YORK, NEW YORK</w:t>
            </w:r>
          </w:p>
        </w:tc>
        <w:tc>
          <w:tcPr>
            <w:tcW w:w="31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10005</w:t>
            </w:r>
          </w:p>
        </w:tc>
      </w:tr>
      <w:tr>
        <w:trPr>
          <w:trHeight w:val="216"/>
        </w:trPr>
        <w:tc>
          <w:tcPr>
            <w:tcW w:w="4760" w:type="dxa"/>
            <w:vAlign w:val="bottom"/>
          </w:tcPr>
          <w:p>
            <w:pPr>
              <w:jc w:val="center"/>
              <w:ind w:right="1770"/>
              <w:spacing w:after="0"/>
              <w:rPr>
                <w:sz w:val="20"/>
                <w:szCs w:val="20"/>
                <w:color w:val="auto"/>
              </w:rPr>
            </w:pPr>
            <w:r>
              <w:rPr>
                <w:rFonts w:ascii="Arial" w:cs="Arial" w:eastAsia="Arial" w:hAnsi="Arial"/>
                <w:sz w:val="18"/>
                <w:szCs w:val="18"/>
                <w:color w:val="auto"/>
                <w:w w:val="93"/>
              </w:rPr>
              <w:t>(Address of principal</w:t>
            </w: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4"/>
              </w:rPr>
              <w:t>(Zip Code)</w:t>
            </w:r>
          </w:p>
        </w:tc>
      </w:tr>
      <w:tr>
        <w:trPr>
          <w:trHeight w:val="230"/>
        </w:trPr>
        <w:tc>
          <w:tcPr>
            <w:tcW w:w="4760" w:type="dxa"/>
            <w:vAlign w:val="bottom"/>
          </w:tcPr>
          <w:p>
            <w:pPr>
              <w:jc w:val="center"/>
              <w:ind w:right="1750"/>
              <w:spacing w:after="0"/>
              <w:rPr>
                <w:sz w:val="20"/>
                <w:szCs w:val="20"/>
                <w:color w:val="auto"/>
              </w:rPr>
            </w:pPr>
            <w:r>
              <w:rPr>
                <w:rFonts w:ascii="Arial" w:cs="Arial" w:eastAsia="Arial" w:hAnsi="Arial"/>
                <w:sz w:val="18"/>
                <w:szCs w:val="18"/>
                <w:color w:val="auto"/>
                <w:w w:val="92"/>
              </w:rPr>
              <w:t>executive offices)</w:t>
            </w:r>
          </w:p>
        </w:tc>
        <w:tc>
          <w:tcPr>
            <w:tcW w:w="3160" w:type="dxa"/>
            <w:vAlign w:val="bottom"/>
          </w:tcPr>
          <w:p>
            <w:pPr>
              <w:spacing w:after="0"/>
              <w:rPr>
                <w:sz w:val="20"/>
                <w:szCs w:val="20"/>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Attention: Catherine Wang</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Department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 Wall Street, 36th Floor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New York 10005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(212) 250–7544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32"/>
                <w:szCs w:val="32"/>
                <w:b w:val="1"/>
                <w:bCs w:val="1"/>
                <w:color w:val="auto"/>
                <w:w w:val="93"/>
              </w:rPr>
              <w:t>Weibo Corporation</w:t>
            </w:r>
          </w:p>
        </w:tc>
        <w:tc>
          <w:tcPr>
            <w:tcW w:w="40" w:type="dxa"/>
            <w:vAlign w:val="bottom"/>
          </w:tcPr>
          <w:p>
            <w:pPr>
              <w:spacing w:after="0"/>
              <w:rPr>
                <w:sz w:val="24"/>
                <w:szCs w:val="24"/>
                <w:color w:val="auto"/>
              </w:rPr>
            </w:pPr>
          </w:p>
        </w:tc>
      </w:tr>
      <w:tr>
        <w:trPr>
          <w:trHeight w:val="230"/>
        </w:trPr>
        <w:tc>
          <w:tcPr>
            <w:tcW w:w="3920" w:type="dxa"/>
            <w:vAlign w:val="bottom"/>
          </w:tcPr>
          <w:p>
            <w:pPr>
              <w:spacing w:after="0"/>
              <w:rPr>
                <w:sz w:val="20"/>
                <w:szCs w:val="20"/>
                <w:color w:val="auto"/>
              </w:rPr>
            </w:pPr>
          </w:p>
        </w:tc>
        <w:tc>
          <w:tcPr>
            <w:tcW w:w="7500" w:type="dxa"/>
            <w:vAlign w:val="bottom"/>
            <w:gridSpan w:val="3"/>
          </w:tcPr>
          <w:p>
            <w:pPr>
              <w:jc w:val="center"/>
              <w:ind w:right="3810"/>
              <w:spacing w:after="0"/>
              <w:rPr>
                <w:sz w:val="20"/>
                <w:szCs w:val="20"/>
                <w:color w:val="auto"/>
              </w:rPr>
            </w:pPr>
            <w:r>
              <w:rPr>
                <w:rFonts w:ascii="Arial" w:cs="Arial" w:eastAsia="Arial" w:hAnsi="Arial"/>
                <w:sz w:val="18"/>
                <w:szCs w:val="18"/>
                <w:color w:val="auto"/>
                <w:w w:val="91"/>
              </w:rPr>
              <w:t>(Exact name of obligor as specified in its charter)</w:t>
            </w:r>
          </w:p>
        </w:tc>
        <w:tc>
          <w:tcPr>
            <w:tcW w:w="40" w:type="dxa"/>
            <w:vAlign w:val="bottom"/>
          </w:tcPr>
          <w:p>
            <w:pPr>
              <w:spacing w:after="0"/>
              <w:rPr>
                <w:sz w:val="20"/>
                <w:szCs w:val="20"/>
                <w:color w:val="auto"/>
              </w:rPr>
            </w:pPr>
          </w:p>
        </w:tc>
      </w:tr>
      <w:tr>
        <w:trPr>
          <w:trHeight w:val="418"/>
        </w:trPr>
        <w:tc>
          <w:tcPr>
            <w:tcW w:w="392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Cayman Islands</w:t>
            </w: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Not Applicable</w:t>
            </w:r>
          </w:p>
        </w:tc>
        <w:tc>
          <w:tcPr>
            <w:tcW w:w="40" w:type="dxa"/>
            <w:vAlign w:val="bottom"/>
          </w:tcPr>
          <w:p>
            <w:pPr>
              <w:spacing w:after="0"/>
              <w:rPr>
                <w:sz w:val="24"/>
                <w:szCs w:val="24"/>
                <w:color w:val="auto"/>
              </w:rPr>
            </w:pPr>
          </w:p>
        </w:tc>
      </w:tr>
      <w:tr>
        <w:trPr>
          <w:trHeight w:val="216"/>
        </w:trPr>
        <w:tc>
          <w:tcPr>
            <w:tcW w:w="3920" w:type="dxa"/>
            <w:vAlign w:val="bottom"/>
          </w:tcPr>
          <w:p>
            <w:pPr>
              <w:jc w:val="center"/>
              <w:ind w:left="1610"/>
              <w:spacing w:after="0"/>
              <w:rPr>
                <w:sz w:val="20"/>
                <w:szCs w:val="20"/>
                <w:color w:val="auto"/>
              </w:rPr>
            </w:pPr>
            <w:r>
              <w:rPr>
                <w:rFonts w:ascii="Arial" w:cs="Arial" w:eastAsia="Arial" w:hAnsi="Arial"/>
                <w:sz w:val="18"/>
                <w:szCs w:val="18"/>
                <w:color w:val="auto"/>
                <w:w w:val="93"/>
              </w:rPr>
              <w:t>(State or other jurisdiction of</w:t>
            </w: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r>
      <w:tr>
        <w:trPr>
          <w:trHeight w:val="230"/>
        </w:trPr>
        <w:tc>
          <w:tcPr>
            <w:tcW w:w="3920" w:type="dxa"/>
            <w:vAlign w:val="bottom"/>
          </w:tcPr>
          <w:p>
            <w:pPr>
              <w:jc w:val="center"/>
              <w:ind w:left="1610"/>
              <w:spacing w:after="0"/>
              <w:rPr>
                <w:sz w:val="20"/>
                <w:szCs w:val="20"/>
                <w:color w:val="auto"/>
              </w:rPr>
            </w:pPr>
            <w:r>
              <w:rPr>
                <w:rFonts w:ascii="Arial" w:cs="Arial" w:eastAsia="Arial" w:hAnsi="Arial"/>
                <w:sz w:val="18"/>
                <w:szCs w:val="18"/>
                <w:color w:val="auto"/>
                <w:w w:val="93"/>
              </w:rPr>
              <w:t>incorporation or organization)</w:t>
            </w:r>
          </w:p>
        </w:tc>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tcPr>
          <w:p>
            <w:pPr>
              <w:jc w:val="center"/>
              <w:ind w:right="1230"/>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7500" w:type="dxa"/>
            <w:vAlign w:val="bottom"/>
            <w:gridSpan w:val="3"/>
          </w:tcPr>
          <w:p>
            <w:pPr>
              <w:jc w:val="center"/>
              <w:ind w:right="3810"/>
              <w:spacing w:after="0"/>
              <w:rPr>
                <w:sz w:val="20"/>
                <w:szCs w:val="20"/>
                <w:color w:val="auto"/>
              </w:rPr>
            </w:pPr>
            <w:r>
              <w:rPr>
                <w:rFonts w:ascii="Arial" w:cs="Arial" w:eastAsia="Arial" w:hAnsi="Arial"/>
                <w:sz w:val="18"/>
                <w:szCs w:val="18"/>
                <w:b w:val="1"/>
                <w:bCs w:val="1"/>
                <w:color w:val="auto"/>
                <w:w w:val="93"/>
              </w:rPr>
              <w:t>8/F, QIHAO Plaza, 8 Xinyuan South Road</w:t>
            </w:r>
          </w:p>
        </w:tc>
        <w:tc>
          <w:tcPr>
            <w:tcW w:w="4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0"/>
              </w:rPr>
              <w:t>Chaoyang District, Beijing 100027</w:t>
            </w:r>
          </w:p>
        </w:tc>
        <w:tc>
          <w:tcPr>
            <w:tcW w:w="4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40" w:type="dxa"/>
            <w:vAlign w:val="bottom"/>
            <w:gridSpan w:val="2"/>
          </w:tcPr>
          <w:p>
            <w:pPr>
              <w:jc w:val="center"/>
              <w:ind w:right="4170"/>
              <w:spacing w:after="0"/>
              <w:rPr>
                <w:sz w:val="20"/>
                <w:szCs w:val="20"/>
                <w:color w:val="auto"/>
              </w:rPr>
            </w:pPr>
            <w:r>
              <w:rPr>
                <w:rFonts w:ascii="Arial" w:cs="Arial" w:eastAsia="Arial" w:hAnsi="Arial"/>
                <w:sz w:val="18"/>
                <w:szCs w:val="18"/>
                <w:b w:val="1"/>
                <w:bCs w:val="1"/>
                <w:color w:val="auto"/>
                <w:w w:val="89"/>
              </w:rPr>
              <w:t>People’s Republic of China</w:t>
            </w:r>
          </w:p>
        </w:tc>
        <w:tc>
          <w:tcPr>
            <w:tcW w:w="40" w:type="dxa"/>
            <w:vAlign w:val="bottom"/>
          </w:tcPr>
          <w:p>
            <w:pPr>
              <w:spacing w:after="0"/>
              <w:rPr>
                <w:sz w:val="18"/>
                <w:szCs w:val="18"/>
                <w:color w:val="auto"/>
              </w:rPr>
            </w:pPr>
          </w:p>
        </w:tc>
      </w:tr>
      <w:tr>
        <w:trPr>
          <w:trHeight w:val="220"/>
        </w:trPr>
        <w:tc>
          <w:tcPr>
            <w:tcW w:w="3920" w:type="dxa"/>
            <w:vAlign w:val="bottom"/>
          </w:tcPr>
          <w:p>
            <w:pPr>
              <w:spacing w:after="0"/>
              <w:rPr>
                <w:sz w:val="19"/>
                <w:szCs w:val="19"/>
                <w:color w:val="auto"/>
              </w:rPr>
            </w:pPr>
          </w:p>
        </w:tc>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2"/>
              </w:rPr>
              <w:t>+86 (10) 5898-3336</w:t>
            </w: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r>
      <w:tr>
        <w:trPr>
          <w:trHeight w:val="324"/>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9"/>
              </w:rPr>
              <w:t>DEBT SECURITIES</w:t>
            </w:r>
          </w:p>
        </w:tc>
        <w:tc>
          <w:tcPr>
            <w:tcW w:w="40" w:type="dxa"/>
            <w:vAlign w:val="bottom"/>
          </w:tcPr>
          <w:p>
            <w:pPr>
              <w:spacing w:after="0"/>
              <w:rPr>
                <w:sz w:val="24"/>
                <w:szCs w:val="24"/>
                <w:color w:val="auto"/>
              </w:rPr>
            </w:pPr>
          </w:p>
        </w:tc>
      </w:tr>
      <w:tr>
        <w:trPr>
          <w:trHeight w:val="230"/>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color w:val="auto"/>
                <w:w w:val="92"/>
              </w:rPr>
              <w:t>(Title of the Indenture securities)</w:t>
            </w:r>
          </w:p>
        </w:tc>
        <w:tc>
          <w:tcPr>
            <w:tcW w:w="40" w:type="dxa"/>
            <w:vAlign w:val="bottom"/>
          </w:tcPr>
          <w:p>
            <w:pPr>
              <w:spacing w:after="0"/>
              <w:rPr>
                <w:sz w:val="20"/>
                <w:szCs w:val="20"/>
                <w:color w:val="auto"/>
              </w:rPr>
            </w:pPr>
          </w:p>
        </w:tc>
      </w:tr>
      <w:tr>
        <w:trPr>
          <w:trHeight w:val="216"/>
        </w:trPr>
        <w:tc>
          <w:tcPr>
            <w:tcW w:w="3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39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9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Item  1. General Information.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Furnish the following information as to the trustee.</w:t>
      </w:r>
    </w:p>
    <w:p>
      <w:pPr>
        <w:spacing w:after="0" w:line="225" w:lineRule="exact"/>
        <w:rPr>
          <w:sz w:val="20"/>
          <w:szCs w:val="20"/>
          <w:color w:val="auto"/>
        </w:rPr>
      </w:pPr>
    </w:p>
    <w:p>
      <w:pPr>
        <w:ind w:left="1940" w:hanging="635"/>
        <w:spacing w:after="0"/>
        <w:tabs>
          <w:tab w:leader="none" w:pos="19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360" w:type="dxa"/>
            <w:vAlign w:val="bottom"/>
          </w:tcPr>
          <w:p>
            <w:pPr>
              <w:ind w:left="1940"/>
              <w:spacing w:after="0"/>
              <w:rPr>
                <w:sz w:val="20"/>
                <w:szCs w:val="20"/>
                <w:color w:val="auto"/>
              </w:rPr>
            </w:pPr>
            <w:r>
              <w:rPr>
                <w:rFonts w:ascii="Arial" w:cs="Arial" w:eastAsia="Arial" w:hAnsi="Arial"/>
                <w:sz w:val="14"/>
                <w:szCs w:val="14"/>
                <w:b w:val="1"/>
                <w:bCs w:val="1"/>
                <w:color w:val="auto"/>
              </w:rPr>
              <w:t>Address</w:t>
            </w:r>
          </w:p>
        </w:tc>
      </w:tr>
      <w:tr>
        <w:trPr>
          <w:trHeight w:val="210"/>
        </w:trPr>
        <w:tc>
          <w:tcPr>
            <w:tcW w:w="50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Reserve Bank (2nd District)</w:t>
            </w: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New York, NY</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4360" w:type="dxa"/>
            <w:vAlign w:val="bottom"/>
          </w:tcPr>
          <w:p>
            <w:pPr>
              <w:spacing w:after="0"/>
              <w:rPr>
                <w:sz w:val="20"/>
                <w:szCs w:val="20"/>
                <w:color w:val="auto"/>
              </w:rPr>
            </w:pPr>
            <w:r>
              <w:rPr>
                <w:rFonts w:ascii="Arial" w:cs="Arial" w:eastAsia="Arial" w:hAnsi="Arial"/>
                <w:sz w:val="18"/>
                <w:szCs w:val="18"/>
                <w:color w:val="auto"/>
              </w:rPr>
              <w:t>Washington, D.C.</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State Banking Department</w:t>
            </w: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Albany, NY</w:t>
            </w:r>
          </w:p>
        </w:tc>
      </w:tr>
    </w:tbl>
    <w:p>
      <w:pPr>
        <w:spacing w:after="0" w:line="202" w:lineRule="exact"/>
        <w:rPr>
          <w:sz w:val="20"/>
          <w:szCs w:val="20"/>
          <w:color w:val="auto"/>
        </w:rPr>
      </w:pPr>
    </w:p>
    <w:p>
      <w:pPr>
        <w:ind w:left="1960" w:right="5240" w:hanging="655"/>
        <w:spacing w:after="0" w:line="277" w:lineRule="auto"/>
        <w:tabs>
          <w:tab w:leader="none" w:pos="196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 Yes.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Affiliations with Obligor.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10360" w:type="dxa"/>
            <w:vAlign w:val="bottom"/>
            <w:gridSpan w:val="2"/>
          </w:tcPr>
          <w:p>
            <w:pPr>
              <w:ind w:left="200"/>
              <w:spacing w:after="0"/>
              <w:rPr>
                <w:sz w:val="20"/>
                <w:szCs w:val="20"/>
                <w:color w:val="auto"/>
              </w:rPr>
            </w:pPr>
            <w:r>
              <w:rPr>
                <w:rFonts w:ascii="Arial" w:cs="Arial" w:eastAsia="Arial" w:hAnsi="Arial"/>
                <w:sz w:val="18"/>
                <w:szCs w:val="18"/>
                <w:color w:val="auto"/>
              </w:rPr>
              <w:t>If the obligor is an affiliate of the Trustee, describe each such affiliation.</w:t>
            </w:r>
          </w:p>
        </w:tc>
      </w:tr>
      <w:tr>
        <w:trPr>
          <w:trHeight w:val="432"/>
        </w:trPr>
        <w:tc>
          <w:tcPr>
            <w:tcW w:w="110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rPr>
              <w:t>None</w:t>
            </w:r>
          </w:p>
        </w:tc>
        <w:tc>
          <w:tcPr>
            <w:tcW w:w="888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 -15.</w:t>
            </w:r>
          </w:p>
        </w:tc>
        <w:tc>
          <w:tcPr>
            <w:tcW w:w="1480" w:type="dxa"/>
            <w:vAlign w:val="bottom"/>
          </w:tcPr>
          <w:p>
            <w:pPr>
              <w:ind w:left="220"/>
              <w:spacing w:after="0"/>
              <w:rPr>
                <w:sz w:val="20"/>
                <w:szCs w:val="20"/>
                <w:color w:val="auto"/>
              </w:rPr>
            </w:pPr>
            <w:r>
              <w:rPr>
                <w:rFonts w:ascii="Arial" w:cs="Arial" w:eastAsia="Arial" w:hAnsi="Arial"/>
                <w:sz w:val="18"/>
                <w:szCs w:val="18"/>
                <w:b w:val="1"/>
                <w:bCs w:val="1"/>
                <w:color w:val="auto"/>
                <w:w w:val="98"/>
              </w:rPr>
              <w:t>Not Applicable</w:t>
            </w:r>
          </w:p>
        </w:tc>
        <w:tc>
          <w:tcPr>
            <w:tcW w:w="888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480" w:type="dxa"/>
            <w:vAlign w:val="bottom"/>
          </w:tcPr>
          <w:p>
            <w:pPr>
              <w:ind w:left="220"/>
              <w:spacing w:after="0"/>
              <w:rPr>
                <w:sz w:val="20"/>
                <w:szCs w:val="20"/>
                <w:color w:val="auto"/>
              </w:rPr>
            </w:pPr>
            <w:r>
              <w:rPr>
                <w:rFonts w:ascii="Arial" w:cs="Arial" w:eastAsia="Arial" w:hAnsi="Arial"/>
                <w:sz w:val="18"/>
                <w:szCs w:val="18"/>
                <w:b w:val="1"/>
                <w:bCs w:val="1"/>
                <w:color w:val="auto"/>
                <w:w w:val="92"/>
              </w:rPr>
              <w:t>List of Exhibits.</w:t>
            </w:r>
          </w:p>
        </w:tc>
        <w:tc>
          <w:tcPr>
            <w:tcW w:w="888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Exhibit 1 -</w:t>
            </w:r>
          </w:p>
        </w:tc>
        <w:tc>
          <w:tcPr>
            <w:tcW w:w="8880" w:type="dxa"/>
            <w:vAlign w:val="bottom"/>
          </w:tcPr>
          <w:p>
            <w:pPr>
              <w:ind w:left="40"/>
              <w:spacing w:after="0"/>
              <w:rPr>
                <w:sz w:val="20"/>
                <w:szCs w:val="20"/>
                <w:color w:val="auto"/>
              </w:rPr>
            </w:pPr>
            <w:r>
              <w:rPr>
                <w:rFonts w:ascii="Arial" w:cs="Arial" w:eastAsia="Arial" w:hAnsi="Arial"/>
                <w:sz w:val="18"/>
                <w:szCs w:val="18"/>
                <w:color w:val="auto"/>
                <w:w w:val="94"/>
              </w:rPr>
              <w:t>Restated Organization Certificate of Bankers Trust Company dated August 31, 1998; Certificate of Amendment of the</w:t>
            </w:r>
          </w:p>
        </w:tc>
      </w:tr>
      <w:tr>
        <w:trPr>
          <w:trHeight w:val="216"/>
        </w:trPr>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w w:val="99"/>
              </w:rPr>
              <w:t>Organization Certificate of Bankers Trust Company dated September 25, 1998; Certificate of Amendment of the</w:t>
            </w:r>
          </w:p>
        </w:tc>
      </w:tr>
      <w:tr>
        <w:trPr>
          <w:trHeight w:val="216"/>
        </w:trPr>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Organization Certificate of Bankers Trust Company dated December 18, 1998;Certificate of Amendment of the</w:t>
            </w:r>
          </w:p>
        </w:tc>
      </w:tr>
      <w:tr>
        <w:trPr>
          <w:trHeight w:val="216"/>
        </w:trPr>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w w:val="96"/>
              </w:rPr>
              <w:t>Organization Certificate of Bankers Trust Company dated September 3, 1999; and Certificate of Amendment of the</w:t>
            </w:r>
          </w:p>
        </w:tc>
      </w:tr>
      <w:tr>
        <w:trPr>
          <w:trHeight w:val="216"/>
        </w:trPr>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w w:val="92"/>
              </w:rPr>
              <w:t>Organization Certificate of Bankers Trust Company dated March 14, 2002, incorporated herein by reference to Exhibit 1</w:t>
            </w:r>
          </w:p>
        </w:tc>
      </w:tr>
      <w:tr>
        <w:trPr>
          <w:trHeight w:val="230"/>
        </w:trPr>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filed with Form T-1 Statement, Registration No. 333-201810.</w:t>
            </w:r>
          </w:p>
        </w:tc>
      </w:tr>
      <w:tr>
        <w:trPr>
          <w:trHeight w:val="418"/>
        </w:trPr>
        <w:tc>
          <w:tcPr>
            <w:tcW w:w="110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Exhibit 2 -</w:t>
            </w:r>
          </w:p>
        </w:tc>
        <w:tc>
          <w:tcPr>
            <w:tcW w:w="8880" w:type="dxa"/>
            <w:vAlign w:val="bottom"/>
          </w:tcPr>
          <w:p>
            <w:pPr>
              <w:ind w:left="40"/>
              <w:spacing w:after="0"/>
              <w:rPr>
                <w:sz w:val="20"/>
                <w:szCs w:val="20"/>
                <w:color w:val="auto"/>
              </w:rPr>
            </w:pPr>
            <w:r>
              <w:rPr>
                <w:rFonts w:ascii="Arial" w:cs="Arial" w:eastAsia="Arial" w:hAnsi="Arial"/>
                <w:sz w:val="18"/>
                <w:szCs w:val="18"/>
                <w:color w:val="auto"/>
                <w:w w:val="99"/>
              </w:rPr>
              <w:t>Certificate of Authority to commence business, incorporated herein by reference to Exhibit 2 filed with Form T-1</w:t>
            </w:r>
          </w:p>
        </w:tc>
      </w:tr>
      <w:tr>
        <w:trPr>
          <w:trHeight w:val="230"/>
        </w:trPr>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Statement, Registration No. 333-201810.</w:t>
            </w:r>
          </w:p>
        </w:tc>
      </w:tr>
      <w:tr>
        <w:trPr>
          <w:trHeight w:val="418"/>
        </w:trPr>
        <w:tc>
          <w:tcPr>
            <w:tcW w:w="110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Exhibit 3 -</w:t>
            </w:r>
          </w:p>
        </w:tc>
        <w:tc>
          <w:tcPr>
            <w:tcW w:w="8880" w:type="dxa"/>
            <w:vAlign w:val="bottom"/>
          </w:tcPr>
          <w:p>
            <w:pPr>
              <w:ind w:left="40"/>
              <w:spacing w:after="0"/>
              <w:rPr>
                <w:sz w:val="20"/>
                <w:szCs w:val="20"/>
                <w:color w:val="auto"/>
              </w:rPr>
            </w:pPr>
            <w:r>
              <w:rPr>
                <w:rFonts w:ascii="Arial" w:cs="Arial" w:eastAsia="Arial" w:hAnsi="Arial"/>
                <w:sz w:val="18"/>
                <w:szCs w:val="18"/>
                <w:color w:val="auto"/>
                <w:w w:val="94"/>
              </w:rPr>
              <w:t>Authorization of the Trustee to exercise corporate trust powers, incorporated herein by reference to Exhibit 3 filed with</w:t>
            </w:r>
          </w:p>
        </w:tc>
      </w:tr>
      <w:tr>
        <w:trPr>
          <w:trHeight w:val="230"/>
        </w:trPr>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Form T-1 Statement, Registration No. 333-201810.</w:t>
            </w:r>
          </w:p>
        </w:tc>
      </w:tr>
      <w:tr>
        <w:trPr>
          <w:trHeight w:val="418"/>
        </w:trPr>
        <w:tc>
          <w:tcPr>
            <w:tcW w:w="110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Exhibit 4 -</w:t>
            </w:r>
          </w:p>
        </w:tc>
        <w:tc>
          <w:tcPr>
            <w:tcW w:w="8880" w:type="dxa"/>
            <w:vAlign w:val="bottom"/>
          </w:tcPr>
          <w:p>
            <w:pPr>
              <w:ind w:left="40"/>
              <w:spacing w:after="0"/>
              <w:rPr>
                <w:sz w:val="20"/>
                <w:szCs w:val="20"/>
                <w:color w:val="auto"/>
              </w:rPr>
            </w:pPr>
            <w:r>
              <w:rPr>
                <w:rFonts w:ascii="Arial" w:cs="Arial" w:eastAsia="Arial" w:hAnsi="Arial"/>
                <w:sz w:val="18"/>
                <w:szCs w:val="18"/>
                <w:color w:val="auto"/>
                <w:w w:val="92"/>
              </w:rPr>
              <w:t>Existing By-Laws of Deutsche Bank Trust Company Americas, dated August 30, 2018, incorporated herein by reference</w:t>
            </w:r>
          </w:p>
        </w:tc>
      </w:tr>
      <w:tr>
        <w:trPr>
          <w:trHeight w:val="230"/>
        </w:trPr>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to Exhibit 4 filed with Form T-1 Statement, Registration No. 333-224828.</w:t>
            </w:r>
          </w:p>
        </w:tc>
      </w:tr>
      <w:tr>
        <w:trPr>
          <w:trHeight w:val="348"/>
        </w:trPr>
        <w:tc>
          <w:tcPr>
            <w:tcW w:w="11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4"/>
        </w:trPr>
        <w:tc>
          <w:tcPr>
            <w:tcW w:w="2360" w:type="dxa"/>
            <w:vAlign w:val="bottom"/>
          </w:tcPr>
          <w:p>
            <w:pPr>
              <w:ind w:left="1300"/>
              <w:spacing w:after="0"/>
              <w:rPr>
                <w:sz w:val="20"/>
                <w:szCs w:val="20"/>
                <w:color w:val="auto"/>
              </w:rPr>
            </w:pPr>
            <w:r>
              <w:rPr>
                <w:rFonts w:ascii="Arial" w:cs="Arial" w:eastAsia="Arial" w:hAnsi="Arial"/>
                <w:sz w:val="18"/>
                <w:szCs w:val="18"/>
                <w:b w:val="1"/>
                <w:bCs w:val="1"/>
                <w:color w:val="auto"/>
              </w:rPr>
              <w:t>Exhibit 5 -</w:t>
            </w:r>
          </w:p>
        </w:tc>
        <w:tc>
          <w:tcPr>
            <w:tcW w:w="910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8"/>
        </w:trPr>
        <w:tc>
          <w:tcPr>
            <w:tcW w:w="2360" w:type="dxa"/>
            <w:vAlign w:val="bottom"/>
          </w:tcPr>
          <w:p>
            <w:pPr>
              <w:ind w:left="1300"/>
              <w:spacing w:after="0"/>
              <w:rPr>
                <w:sz w:val="20"/>
                <w:szCs w:val="20"/>
                <w:color w:val="auto"/>
              </w:rPr>
            </w:pPr>
            <w:r>
              <w:rPr>
                <w:rFonts w:ascii="Arial" w:cs="Arial" w:eastAsia="Arial" w:hAnsi="Arial"/>
                <w:sz w:val="18"/>
                <w:szCs w:val="18"/>
                <w:b w:val="1"/>
                <w:bCs w:val="1"/>
                <w:color w:val="auto"/>
              </w:rPr>
              <w:t>Exhibit 6 -</w:t>
            </w:r>
          </w:p>
        </w:tc>
        <w:tc>
          <w:tcPr>
            <w:tcW w:w="9100" w:type="dxa"/>
            <w:vAlign w:val="bottom"/>
          </w:tcPr>
          <w:p>
            <w:pPr>
              <w:ind w:left="260"/>
              <w:spacing w:after="0"/>
              <w:rPr>
                <w:sz w:val="20"/>
                <w:szCs w:val="20"/>
                <w:color w:val="auto"/>
              </w:rPr>
            </w:pPr>
            <w:r>
              <w:rPr>
                <w:rFonts w:ascii="Arial" w:cs="Arial" w:eastAsia="Arial" w:hAnsi="Arial"/>
                <w:sz w:val="18"/>
                <w:szCs w:val="18"/>
                <w:color w:val="auto"/>
                <w:w w:val="92"/>
              </w:rPr>
              <w:t>Consent of Bankers Trust Company required by Section 321(b) of the Act, incorporated herein by reference to Exhibit 6</w:t>
            </w:r>
          </w:p>
        </w:tc>
      </w:tr>
      <w:tr>
        <w:trPr>
          <w:trHeight w:val="230"/>
        </w:trPr>
        <w:tc>
          <w:tcPr>
            <w:tcW w:w="23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filed with Form T-1 Statement, Registration No. 333-201810.</w:t>
            </w:r>
          </w:p>
        </w:tc>
      </w:tr>
      <w:tr>
        <w:trPr>
          <w:trHeight w:val="418"/>
        </w:trPr>
        <w:tc>
          <w:tcPr>
            <w:tcW w:w="2360" w:type="dxa"/>
            <w:vAlign w:val="bottom"/>
          </w:tcPr>
          <w:p>
            <w:pPr>
              <w:ind w:left="1300"/>
              <w:spacing w:after="0"/>
              <w:rPr>
                <w:sz w:val="20"/>
                <w:szCs w:val="20"/>
                <w:color w:val="auto"/>
              </w:rPr>
            </w:pPr>
            <w:r>
              <w:rPr>
                <w:rFonts w:ascii="Arial" w:cs="Arial" w:eastAsia="Arial" w:hAnsi="Arial"/>
                <w:sz w:val="18"/>
                <w:szCs w:val="18"/>
                <w:b w:val="1"/>
                <w:bCs w:val="1"/>
                <w:color w:val="auto"/>
              </w:rPr>
              <w:t>Exhibit 7 -</w:t>
            </w:r>
          </w:p>
        </w:tc>
        <w:tc>
          <w:tcPr>
            <w:tcW w:w="9100" w:type="dxa"/>
            <w:vAlign w:val="bottom"/>
          </w:tcPr>
          <w:p>
            <w:pPr>
              <w:ind w:left="260"/>
              <w:spacing w:after="0"/>
              <w:rPr>
                <w:sz w:val="20"/>
                <w:szCs w:val="20"/>
                <w:color w:val="auto"/>
              </w:rPr>
            </w:pPr>
            <w:r>
              <w:rPr>
                <w:rFonts w:ascii="Arial" w:cs="Arial" w:eastAsia="Arial" w:hAnsi="Arial"/>
                <w:sz w:val="18"/>
                <w:szCs w:val="18"/>
                <w:color w:val="auto"/>
                <w:w w:val="93"/>
              </w:rPr>
              <w:t>A copy of the latest report of condition of the trustee published pursuant to law or the requirements of its supervising or</w:t>
            </w:r>
          </w:p>
        </w:tc>
      </w:tr>
      <w:tr>
        <w:trPr>
          <w:trHeight w:val="230"/>
        </w:trPr>
        <w:tc>
          <w:tcPr>
            <w:tcW w:w="236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Arial" w:cs="Arial" w:eastAsia="Arial" w:hAnsi="Arial"/>
                <w:sz w:val="18"/>
                <w:szCs w:val="18"/>
                <w:color w:val="auto"/>
              </w:rPr>
              <w:t>examining authority.</w:t>
            </w:r>
          </w:p>
        </w:tc>
      </w:tr>
      <w:tr>
        <w:trPr>
          <w:trHeight w:val="432"/>
        </w:trPr>
        <w:tc>
          <w:tcPr>
            <w:tcW w:w="2360" w:type="dxa"/>
            <w:vAlign w:val="bottom"/>
          </w:tcPr>
          <w:p>
            <w:pPr>
              <w:ind w:left="1300"/>
              <w:spacing w:after="0"/>
              <w:rPr>
                <w:sz w:val="20"/>
                <w:szCs w:val="20"/>
                <w:color w:val="auto"/>
              </w:rPr>
            </w:pPr>
            <w:r>
              <w:rPr>
                <w:rFonts w:ascii="Arial" w:cs="Arial" w:eastAsia="Arial" w:hAnsi="Arial"/>
                <w:sz w:val="18"/>
                <w:szCs w:val="18"/>
                <w:b w:val="1"/>
                <w:bCs w:val="1"/>
                <w:color w:val="auto"/>
              </w:rPr>
              <w:t>Exhibit 8 -</w:t>
            </w:r>
          </w:p>
        </w:tc>
        <w:tc>
          <w:tcPr>
            <w:tcW w:w="910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2360" w:type="dxa"/>
            <w:vAlign w:val="bottom"/>
          </w:tcPr>
          <w:p>
            <w:pPr>
              <w:ind w:left="1300"/>
              <w:spacing w:after="0"/>
              <w:rPr>
                <w:sz w:val="20"/>
                <w:szCs w:val="20"/>
                <w:color w:val="auto"/>
              </w:rPr>
            </w:pPr>
            <w:r>
              <w:rPr>
                <w:rFonts w:ascii="Arial" w:cs="Arial" w:eastAsia="Arial" w:hAnsi="Arial"/>
                <w:sz w:val="18"/>
                <w:szCs w:val="18"/>
                <w:b w:val="1"/>
                <w:bCs w:val="1"/>
                <w:color w:val="auto"/>
              </w:rPr>
              <w:t>Exhibit 9 -</w:t>
            </w:r>
          </w:p>
        </w:tc>
        <w:tc>
          <w:tcPr>
            <w:tcW w:w="910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348"/>
        </w:trPr>
        <w:tc>
          <w:tcPr>
            <w:tcW w:w="2360" w:type="dxa"/>
            <w:vAlign w:val="bottom"/>
            <w:tcBorders>
              <w:bottom w:val="single" w:sz="8" w:color="808080"/>
            </w:tcBorders>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8" w:name="page149"/>
    <w:bookmarkEnd w:id="148"/>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7"/>
          <w:szCs w:val="17"/>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June, 2019.</w:t>
      </w:r>
    </w:p>
    <w:p>
      <w:pPr>
        <w:spacing w:after="0" w:line="7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Annie Jaghatspanyan</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337" w:right="519" w:bottom="1440"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88900</wp:posOffset>
            </wp:positionV>
            <wp:extent cx="6586220" cy="8533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586220" cy="8533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97790</wp:posOffset>
            </wp:positionV>
            <wp:extent cx="6586220" cy="8533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6586220" cy="8533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97155</wp:posOffset>
            </wp:positionV>
            <wp:extent cx="6586220" cy="8533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586220" cy="8533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80920" cy="5657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2280920" cy="565785"/>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154305</wp:posOffset>
            </wp:positionV>
            <wp:extent cx="1355090" cy="651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13550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June 20,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8/F, QIHAO Plaza, 8 Xinyuan South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Weibo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understand that Weibo Corporation (the “Company”) plans to file a registration statement on Form F-3 (the “Registration Statement”), a preliminary prospectus supplement (together with the base prospectus included in the Registration Statement and the any incorporated documents, the “Preliminary Prospectus”) and a final prospectus supplement (together with the base prospectus included in the Registration Statement and the any incorporated documents, the “Prospectus”) with the United States Securities and Exchange Commission (the “SEC”) in connection with its proposed notes offering (the “Notes Offering”).</w:t>
      </w:r>
    </w:p>
    <w:p>
      <w:pPr>
        <w:spacing w:after="0" w:line="18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hereby consent to the references to our name and the inclusion of information, data and statements from our research reports and amendments thereto (collectively, the “Reports”), and any subsequent amendments to the Reports, as well as the citation of our research reports and amendments thereto, in the Registration Statement and any amendments thereto, in the Preliminary Prospectus and the Prospectus, in any other future filings with the SEC by the Company, including, without limitation, filings on Form 20-F or Form 6-K or other SEC filings (collectively, the “SEC Filings”), on the websites of the Company and its subsidiaries and affiliates, in institutional and retail road shows and other activities in connection with the Notes Offering, and in other publicity materials in connection with the Notes Offering.</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further hereby consent to the filing of this letter as an exhibit to the Registration Statement and any amendments thereto and as an exhibit to any other SEC Filings.</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China Insights Industry Consultancy Limited</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Lei Jiang</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Lei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Founding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142875</wp:posOffset>
            </wp:positionV>
            <wp:extent cx="4511040" cy="377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4511040" cy="3771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1."/>
      <w:numFmt w:val="lowerRoman"/>
      <w:start w:val="1"/>
    </w:lvl>
  </w:abstractNum>
  <w:abstractNum w:abstractNumId="8">
    <w:nsid w:val="7FFFCA11"/>
    <w:multiLevelType w:val="hybridMultilevel"/>
    <w:lvl w:ilvl="0">
      <w:lvlJc w:val="left"/>
      <w:lvlText w:val="%1."/>
      <w:numFmt w:val="lowerRoman"/>
      <w:start w:val="9"/>
    </w:lvl>
  </w:abstractNum>
  <w:abstractNum w:abstractNumId="9">
    <w:nsid w:val="1A27709E"/>
    <w:multiLevelType w:val="hybridMultilevel"/>
    <w:lvl w:ilvl="0">
      <w:lvlJc w:val="left"/>
      <w:lvlText w:val="(%1)"/>
      <w:numFmt w:val="lowerRoman"/>
      <w:start w:val="1"/>
    </w:lvl>
  </w:abstractNum>
  <w:abstractNum w:abstractNumId="10">
    <w:nsid w:val="71EA1109"/>
    <w:multiLevelType w:val="hybridMultilevel"/>
    <w:lvl w:ilvl="0">
      <w:lvlJc w:val="left"/>
      <w:lvlText w:val="%1."/>
      <w:numFmt w:val="lowerRoman"/>
      <w:start w:val="1"/>
    </w:lvl>
  </w:abstractNum>
  <w:abstractNum w:abstractNumId="11">
    <w:nsid w:val="100F59DC"/>
    <w:multiLevelType w:val="hybridMultilevel"/>
    <w:lvl w:ilvl="0">
      <w:lvlJc w:val="left"/>
      <w:lvlText w:val="%1."/>
      <w:numFmt w:val="lowerRoman"/>
      <w:start w:val="7"/>
    </w:lvl>
  </w:abstractNum>
  <w:abstractNum w:abstractNumId="12">
    <w:nsid w:val="7FB7E0AA"/>
    <w:multiLevelType w:val="hybridMultilevel"/>
    <w:lvl w:ilvl="0">
      <w:lvlJc w:val="left"/>
      <w:lvlText w:val="%1."/>
      <w:numFmt w:val="lowerRoman"/>
      <w:start w:val="1"/>
    </w:lvl>
  </w:abstractNum>
  <w:abstractNum w:abstractNumId="13">
    <w:nsid w:val="6EB5BD4"/>
    <w:multiLevelType w:val="hybridMultilevel"/>
    <w:lvl w:ilvl="0">
      <w:lvlJc w:val="left"/>
      <w:lvlText w:val="%1."/>
      <w:numFmt w:val="lowerRoman"/>
      <w:start w:val="6"/>
    </w:lvl>
  </w:abstractNum>
  <w:abstractNum w:abstractNumId="14">
    <w:nsid w:val="6F6DD9AC"/>
    <w:multiLevelType w:val="hybridMultilevel"/>
    <w:lvl w:ilvl="0">
      <w:lvlJc w:val="left"/>
      <w:lvlText w:val="%1."/>
      <w:numFmt w:val="lowerRoman"/>
      <w:start w:val="1"/>
    </w:lvl>
  </w:abstractNum>
  <w:abstractNum w:abstractNumId="15">
    <w:nsid w:val="94211F2"/>
    <w:multiLevelType w:val="hybridMultilevel"/>
    <w:lvl w:ilvl="0">
      <w:lvlJc w:val="left"/>
      <w:lvlText w:val="%1."/>
      <w:numFmt w:val="lowerRoman"/>
      <w:start w:val="2"/>
    </w:lvl>
  </w:abstractNum>
  <w:abstractNum w:abstractNumId="16">
    <w:nsid w:val="885E1B"/>
    <w:multiLevelType w:val="hybridMultilevel"/>
    <w:lvl w:ilvl="0">
      <w:lvlJc w:val="left"/>
      <w:lvlText w:val="(%1)"/>
      <w:numFmt w:val="lowerRoman"/>
      <w:start w:val="1"/>
    </w:lvl>
  </w:abstractNum>
  <w:abstractNum w:abstractNumId="17">
    <w:nsid w:val="76272110"/>
    <w:multiLevelType w:val="hybridMultilevel"/>
    <w:lvl w:ilvl="0">
      <w:lvlJc w:val="left"/>
      <w:lvlText w:val="(%1)"/>
      <w:numFmt w:val="lowerRoman"/>
      <w:start w:val="7"/>
    </w:lvl>
  </w:abstractNum>
  <w:abstractNum w:abstractNumId="18">
    <w:nsid w:val="4C04A8AF"/>
    <w:multiLevelType w:val="hybridMultilevel"/>
    <w:lvl w:ilvl="0">
      <w:lvlJc w:val="left"/>
      <w:lvlText w:val="(%1)"/>
      <w:numFmt w:val="decimal"/>
      <w:start w:val="2"/>
    </w:lvl>
  </w:abstractNum>
  <w:abstractNum w:abstractNumId="19">
    <w:nsid w:val="1716703B"/>
    <w:multiLevelType w:val="hybridMultilevel"/>
    <w:lvl w:ilvl="0">
      <w:lvlJc w:val="left"/>
      <w:lvlText w:val="%1)"/>
      <w:numFmt w:val="decimal"/>
      <w:start w:val="1"/>
    </w:lvl>
  </w:abstractNum>
  <w:abstractNum w:abstractNumId="20">
    <w:nsid w:val="14E17E33"/>
    <w:multiLevelType w:val="hybridMultilevel"/>
    <w:lvl w:ilvl="0">
      <w:lvlJc w:val="left"/>
      <w:lvlText w:val="%1)"/>
      <w:numFmt w:val="decimal"/>
      <w:start w:val="1"/>
    </w:lvl>
  </w:abstractNum>
  <w:abstractNum w:abstractNumId="21">
    <w:nsid w:val="3222E7CD"/>
    <w:multiLevelType w:val="hybridMultilevel"/>
    <w:lvl w:ilvl="0">
      <w:lvlJc w:val="left"/>
      <w:lvlText w:val="%1)"/>
      <w:numFmt w:val="decimal"/>
      <w:start w:val="3"/>
    </w:lvl>
  </w:abstractNum>
  <w:abstractNum w:abstractNumId="22">
    <w:nsid w:val="74DE0EE3"/>
    <w:multiLevelType w:val="hybridMultilevel"/>
    <w:lvl w:ilvl="0">
      <w:lvlJc w:val="left"/>
      <w:lvlText w:val="%1)"/>
      <w:numFmt w:val="decimal"/>
      <w:start w:val="1"/>
    </w:lvl>
    <w:lvl w:ilvl="1">
      <w:lvlJc w:val="left"/>
      <w:lvlText w:val="%2)"/>
      <w:numFmt w:val="lowerLetter"/>
      <w:start w:val="1"/>
    </w:lvl>
  </w:abstractNum>
  <w:abstractNum w:abstractNumId="23">
    <w:nsid w:val="68EBC550"/>
    <w:multiLevelType w:val="hybridMultilevel"/>
    <w:lvl w:ilvl="0">
      <w:lvlJc w:val="left"/>
      <w:lvlText w:val="(%1)"/>
      <w:numFmt w:val="lowerLetter"/>
      <w:start w:val="9"/>
    </w:lvl>
    <w:lvl w:ilvl="1">
      <w:lvlJc w:val="left"/>
      <w:lvlText w:val="(%2)"/>
      <w:numFmt w:val="lowerLetter"/>
      <w:start w:val="1"/>
    </w:lvl>
  </w:abstractNum>
  <w:abstractNum w:abstractNumId="24">
    <w:nsid w:val="2DF6D648"/>
    <w:multiLevelType w:val="hybridMultilevel"/>
    <w:lvl w:ilvl="0">
      <w:lvlJc w:val="left"/>
      <w:lvlText w:val="(%1)"/>
      <w:numFmt w:val="decimal"/>
      <w:start w:val="1"/>
    </w:lvl>
  </w:abstractNum>
  <w:abstractNum w:abstractNumId="25">
    <w:nsid w:val="46B7D447"/>
    <w:multiLevelType w:val="hybridMultilevel"/>
    <w:lvl w:ilvl="0">
      <w:lvlJc w:val="left"/>
      <w:lvlText w:val="(%1)"/>
      <w:numFmt w:val="lowerRoman"/>
      <w:start w:val="2"/>
    </w:lvl>
  </w:abstractNum>
  <w:abstractNum w:abstractNumId="26">
    <w:nsid w:val="4A2AC315"/>
    <w:multiLevelType w:val="hybridMultilevel"/>
    <w:lvl w:ilvl="0">
      <w:lvlJc w:val="left"/>
      <w:lvlText w:val="(%1)"/>
      <w:numFmt w:val="decimal"/>
      <w:start w:val="2"/>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488AC1A"/>
    <w:multiLevelType w:val="hybridMultilevel"/>
    <w:lvl w:ilvl="0">
      <w:lvlJc w:val="left"/>
      <w:lvlText w:val="(%1)"/>
      <w:numFmt w:val="decimal"/>
      <w:start w:val="2"/>
    </w:lvl>
    <w:lvl w:ilvl="1">
      <w:lvlJc w:val="left"/>
      <w:lvlText w:val="(%2)"/>
      <w:numFmt w:val="lowerRoman"/>
      <w:start w:val="1"/>
    </w:lvl>
  </w:abstractNum>
  <w:abstractNum w:abstractNumId="39">
    <w:nsid w:val="5FB8011C"/>
    <w:multiLevelType w:val="hybridMultilevel"/>
    <w:lvl w:ilvl="0">
      <w:lvlJc w:val="left"/>
      <w:lvlText w:val="(%1)"/>
      <w:numFmt w:val="decimal"/>
      <w:start w:val="6"/>
    </w:lvl>
  </w:abstractNum>
  <w:abstractNum w:abstractNumId="40">
    <w:nsid w:val="6AA78F7F"/>
    <w:multiLevelType w:val="hybridMultilevel"/>
    <w:lvl w:ilvl="0">
      <w:lvlJc w:val="left"/>
      <w:lvlText w:val="%1"/>
      <w:numFmt w:val="lowerLetter"/>
      <w:start w:val="1"/>
    </w:lvl>
    <w:lvl w:ilvl="1">
      <w:lvlJc w:val="left"/>
      <w:lvlText w:val="(%2)"/>
      <w:numFmt w:val="lowerRoman"/>
      <w:start w:val="1"/>
    </w:lvl>
  </w:abstractNum>
  <w:abstractNum w:abstractNumId="41">
    <w:nsid w:val="7672BD23"/>
    <w:multiLevelType w:val="hybridMultilevel"/>
    <w:lvl w:ilvl="0">
      <w:lvlJc w:val="left"/>
      <w:lvlText w:val="(%1)"/>
      <w:numFmt w:val="lowerLetter"/>
      <w:start w:val="2"/>
    </w:lvl>
    <w:lvl w:ilvl="1">
      <w:lvlJc w:val="left"/>
      <w:lvlText w:val="%2"/>
      <w:numFmt w:val="lowerRoman"/>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1"/>
      <w:numFmt w:val="bullet"/>
      <w:start w:val="1"/>
    </w:lvl>
  </w:abstractNum>
  <w:abstractNum w:abstractNumId="45">
    <w:nsid w:val="5F3534A4"/>
    <w:multiLevelType w:val="hybridMultilevel"/>
    <w:lvl w:ilvl="0">
      <w:lvlJc w:val="left"/>
      <w:lvlText w:val="(%1)"/>
      <w:numFmt w:val="lowerLetter"/>
      <w:start w:val="2"/>
    </w:lvl>
  </w:abstractNum>
  <w:abstractNum w:abstractNumId="46">
    <w:nsid w:val="73A1821B"/>
    <w:multiLevelType w:val="hybridMultilevel"/>
    <w:lvl w:ilvl="0">
      <w:lvlJc w:val="left"/>
      <w:lvlText w:val="(%1)"/>
      <w:numFmt w:val="lowerRoman"/>
      <w:start w:val="1"/>
    </w:lvl>
  </w:abstractNum>
  <w:abstractNum w:abstractNumId="47">
    <w:nsid w:val="7DE67713"/>
    <w:multiLevelType w:val="hybridMultilevel"/>
    <w:lvl w:ilvl="0">
      <w:lvlJc w:val="left"/>
      <w:lvlText w:val="(%1)"/>
      <w:numFmt w:val="lowerRoman"/>
      <w:start w:val="1"/>
    </w:lvl>
    <w:lvl w:ilvl="1">
      <w:lvlJc w:val="left"/>
      <w:lvlText w:val="(%2)"/>
      <w:numFmt w:val="upperLetter"/>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lowerRoman"/>
      <w:start w:val="1"/>
    </w:lvl>
    <w:lvl w:ilvl="1">
      <w:lvlJc w:val="left"/>
      <w:lvlText w:val="(%2)"/>
      <w:numFmt w:val="decimal"/>
      <w:start w:val="2"/>
    </w:lvl>
  </w:abstractNum>
  <w:abstractNum w:abstractNumId="50">
    <w:nsid w:val="14FCE74E"/>
    <w:multiLevelType w:val="hybridMultilevel"/>
    <w:lvl w:ilvl="0">
      <w:lvlJc w:val="left"/>
      <w:lvlText w:val="(%1)"/>
      <w:numFmt w:val="lowerRoman"/>
      <w:start w:val="2"/>
    </w:lvl>
    <w:lvl w:ilvl="1">
      <w:lvlJc w:val="left"/>
      <w:lvlText w:val="%2"/>
      <w:numFmt w:val="decimal"/>
      <w:start w:val="1"/>
    </w:lvl>
  </w:abstractNum>
  <w:abstractNum w:abstractNumId="51">
    <w:nsid w:val="6A3DD3E8"/>
    <w:multiLevelType w:val="hybridMultilevel"/>
    <w:lvl w:ilvl="0">
      <w:lvlJc w:val="left"/>
      <w:lvlText w:val="(%1)"/>
      <w:numFmt w:val="lowerRoman"/>
      <w:start w:val="10"/>
    </w:lvl>
  </w:abstractNum>
  <w:abstractNum w:abstractNumId="52">
    <w:nsid w:val="71C91298"/>
    <w:multiLevelType w:val="hybridMultilevel"/>
    <w:lvl w:ilvl="0">
      <w:lvlJc w:val="left"/>
      <w:lvlText w:val="(%1)"/>
      <w:numFmt w:val="lowerRoman"/>
      <w:start w:val="2"/>
    </w:lvl>
  </w:abstractNum>
  <w:abstractNum w:abstractNumId="53">
    <w:nsid w:val="9DAF632"/>
    <w:multiLevelType w:val="hybridMultilevel"/>
    <w:lvl w:ilvl="0">
      <w:lvlJc w:val="left"/>
      <w:lvlText w:val="(%1)"/>
      <w:numFmt w:val="lowerLetter"/>
      <w:start w:val="1"/>
    </w:lvl>
  </w:abstractNum>
  <w:abstractNum w:abstractNumId="54">
    <w:nsid w:val="53299938"/>
    <w:multiLevelType w:val="hybridMultilevel"/>
    <w:lvl w:ilvl="0">
      <w:lvlJc w:val="left"/>
      <w:lvlText w:val="(%1)"/>
      <w:numFmt w:val="lowerLetter"/>
      <w:start w:val="1"/>
    </w:lvl>
  </w:abstractNum>
  <w:abstractNum w:abstractNumId="55">
    <w:nsid w:val="1FBFE8E0"/>
    <w:multiLevelType w:val="hybridMultilevel"/>
    <w:lvl w:ilvl="0">
      <w:lvlJc w:val="left"/>
      <w:lvlText w:val="(%1)"/>
      <w:numFmt w:val="lowerLetter"/>
      <w:start w:val="1"/>
    </w:lvl>
  </w:abstractNum>
  <w:abstractNum w:abstractNumId="56">
    <w:nsid w:val="5092CA79"/>
    <w:multiLevelType w:val="hybridMultilevel"/>
    <w:lvl w:ilvl="0">
      <w:lvlJc w:val="left"/>
      <w:lvlText w:val="(%1)"/>
      <w:numFmt w:val="lowerLetter"/>
      <w:start w:val="1"/>
    </w:lvl>
  </w:abstractNum>
  <w:abstractNum w:abstractNumId="57">
    <w:nsid w:val="1D545C4D"/>
    <w:multiLevelType w:val="hybridMultilevel"/>
    <w:lvl w:ilvl="0">
      <w:lvlJc w:val="left"/>
      <w:lvlText w:val="(%1)"/>
      <w:numFmt w:val="lowerLetter"/>
      <w:start w:val="4"/>
    </w:lvl>
  </w:abstractNum>
  <w:abstractNum w:abstractNumId="58">
    <w:nsid w:val="59ADEA3D"/>
    <w:multiLevelType w:val="hybridMultilevel"/>
    <w:lvl w:ilvl="0">
      <w:lvlJc w:val="left"/>
      <w:lvlText w:val="(%1)"/>
      <w:numFmt w:val="lowerLetter"/>
      <w:start w:val="11"/>
    </w:lvl>
  </w:abstractNum>
  <w:abstractNum w:abstractNumId="59">
    <w:nsid w:val="288F1A34"/>
    <w:multiLevelType w:val="hybridMultilevel"/>
    <w:lvl w:ilvl="0">
      <w:lvlJc w:val="left"/>
      <w:lvlText w:val="(%1)"/>
      <w:numFmt w:val="lowerLetter"/>
      <w:start w:val="24"/>
    </w:lvl>
  </w:abstractNum>
  <w:abstractNum w:abstractNumId="60">
    <w:nsid w:val="2A155DBC"/>
    <w:multiLevelType w:val="hybridMultilevel"/>
    <w:lvl w:ilvl="0">
      <w:lvlJc w:val="left"/>
      <w:lvlText w:val="(%1)"/>
      <w:numFmt w:val="lowerLetter"/>
      <w:start w:val="27"/>
    </w:lvl>
  </w:abstractNum>
  <w:abstractNum w:abstractNumId="61">
    <w:nsid w:val="1D9F6E5F"/>
    <w:multiLevelType w:val="hybridMultilevel"/>
    <w:lvl w:ilvl="0">
      <w:lvlJc w:val="left"/>
      <w:lvlText w:val="(%1)"/>
      <w:numFmt w:val="lowerLetter"/>
      <w:start w:val="2"/>
    </w:lvl>
  </w:abstractNum>
  <w:abstractNum w:abstractNumId="62">
    <w:nsid w:val="97E1B4E"/>
    <w:multiLevelType w:val="hybridMultilevel"/>
    <w:lvl w:ilvl="0">
      <w:lvlJc w:val="left"/>
      <w:lvlText w:val="(%1)"/>
      <w:numFmt w:val="lowerRoman"/>
      <w:start w:val="1"/>
    </w:lvl>
  </w:abstractNum>
  <w:abstractNum w:abstractNumId="63">
    <w:nsid w:val="51088277"/>
    <w:multiLevelType w:val="hybridMultilevel"/>
    <w:lvl w:ilvl="0">
      <w:lvlJc w:val="left"/>
      <w:lvlText w:val="%1"/>
      <w:numFmt w:val="lowerLetter"/>
      <w:start w:val="1"/>
    </w:lvl>
    <w:lvl w:ilvl="1">
      <w:lvlJc w:val="left"/>
      <w:lvlText w:val="(%2)"/>
      <w:numFmt w:val="lowerLetter"/>
      <w:start w:val="4"/>
    </w:lvl>
  </w:abstractNum>
  <w:abstractNum w:abstractNumId="64">
    <w:nsid w:val="1CA0C5FA"/>
    <w:multiLevelType w:val="hybridMultilevel"/>
    <w:lvl w:ilvl="0">
      <w:lvlJc w:val="left"/>
      <w:lvlText w:val="(%1)"/>
      <w:numFmt w:val="lowerLetter"/>
      <w:start w:val="35"/>
    </w:lvl>
    <w:lvl w:ilvl="1">
      <w:lvlJc w:val="left"/>
      <w:lvlText w:val="%2"/>
      <w:numFmt w:val="lowerLetter"/>
      <w:start w:val="1"/>
    </w:lvl>
  </w:abstractNum>
  <w:abstractNum w:abstractNumId="65">
    <w:nsid w:val="53584BCB"/>
    <w:multiLevelType w:val="hybridMultilevel"/>
    <w:lvl w:ilvl="0">
      <w:lvlJc w:val="left"/>
      <w:lvlText w:val="(%1)"/>
      <w:numFmt w:val="lowerLetter"/>
      <w:start w:val="7"/>
    </w:lvl>
  </w:abstractNum>
  <w:abstractNum w:abstractNumId="66">
    <w:nsid w:val="415E286C"/>
    <w:multiLevelType w:val="hybridMultilevel"/>
    <w:lvl w:ilvl="0">
      <w:lvlJc w:val="left"/>
      <w:lvlText w:val="(%1)"/>
      <w:numFmt w:val="lowerLetter"/>
      <w:start w:val="2"/>
    </w:lvl>
  </w:abstractNum>
  <w:abstractNum w:abstractNumId="67">
    <w:nsid w:val="7C58FD05"/>
    <w:multiLevelType w:val="hybridMultilevel"/>
    <w:lvl w:ilvl="0">
      <w:lvlJc w:val="left"/>
      <w:lvlText w:val="(%1)"/>
      <w:numFmt w:val="lowerLetter"/>
      <w:start w:val="2"/>
    </w:lvl>
  </w:abstractNum>
  <w:abstractNum w:abstractNumId="68">
    <w:nsid w:val="23D86AAC"/>
    <w:multiLevelType w:val="hybridMultilevel"/>
    <w:lvl w:ilvl="0">
      <w:lvlJc w:val="left"/>
      <w:lvlText w:val="(%1)"/>
      <w:numFmt w:val="lowerLetter"/>
      <w:start w:val="1"/>
    </w:lvl>
    <w:lvl w:ilvl="1">
      <w:lvlJc w:val="left"/>
      <w:lvlText w:val="(%2)"/>
      <w:numFmt w:val="lowerRoman"/>
      <w:start w:val="1"/>
    </w:lvl>
  </w:abstractNum>
  <w:abstractNum w:abstractNumId="69">
    <w:nsid w:val="45E6D486"/>
    <w:multiLevelType w:val="hybridMultilevel"/>
    <w:lvl w:ilvl="0">
      <w:lvlJc w:val="left"/>
      <w:lvlText w:val="(%1)"/>
      <w:numFmt w:val="upperLetter"/>
      <w:start w:val="1"/>
    </w:lvl>
  </w:abstractNum>
  <w:abstractNum w:abstractNumId="70">
    <w:nsid w:val="5C10FE21"/>
    <w:multiLevelType w:val="hybridMultilevel"/>
    <w:lvl w:ilvl="0">
      <w:lvlJc w:val="left"/>
      <w:lvlText w:val="(%1)"/>
      <w:numFmt w:val="lowerRoman"/>
      <w:start w:val="2"/>
    </w:lvl>
    <w:lvl w:ilvl="1">
      <w:lvlJc w:val="left"/>
      <w:lvlText w:val="(%2)"/>
      <w:numFmt w:val="upperLetter"/>
      <w:start w:val="1"/>
    </w:lvl>
  </w:abstractNum>
  <w:abstractNum w:abstractNumId="71">
    <w:nsid w:val="E7FFA2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2">
    <w:nsid w:val="3C5991A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3">
    <w:nsid w:val="4BD8591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4">
    <w:nsid w:val="78DF6A55"/>
    <w:multiLevelType w:val="hybridMultilevel"/>
    <w:lvl w:ilvl="0">
      <w:lvlJc w:val="left"/>
      <w:lvlText w:val="(%1)"/>
      <w:numFmt w:val="lowerLetter"/>
      <w:start w:val="8"/>
    </w:lvl>
  </w:abstractNum>
  <w:abstractNum w:abstractNumId="75">
    <w:nsid w:val="39B7AAA2"/>
    <w:multiLevelType w:val="hybridMultilevel"/>
    <w:lvl w:ilvl="0">
      <w:lvlJc w:val="left"/>
      <w:lvlText w:val="(%1)"/>
      <w:numFmt w:val="lowerLetter"/>
      <w:start w:val="10"/>
    </w:lvl>
  </w:abstractNum>
  <w:abstractNum w:abstractNumId="76">
    <w:nsid w:val="2B0D8DBE"/>
    <w:multiLevelType w:val="hybridMultilevel"/>
    <w:lvl w:ilvl="0">
      <w:lvlJc w:val="left"/>
      <w:lvlText w:val="(%1)"/>
      <w:numFmt w:val="lowerLetter"/>
      <w:start w:val="2"/>
    </w:lvl>
  </w:abstractNum>
  <w:abstractNum w:abstractNumId="77">
    <w:nsid w:val="6C80EC70"/>
    <w:multiLevelType w:val="hybridMultilevel"/>
    <w:lvl w:ilvl="0">
      <w:lvlJc w:val="left"/>
      <w:lvlText w:val="(%1)"/>
      <w:numFmt w:val="lowerLetter"/>
      <w:start w:val="2"/>
    </w:lvl>
  </w:abstractNum>
  <w:abstractNum w:abstractNumId="78">
    <w:nsid w:val="379E21B5"/>
    <w:multiLevelType w:val="hybridMultilevel"/>
    <w:lvl w:ilvl="0">
      <w:lvlJc w:val="left"/>
      <w:lvlText w:val="(%1)"/>
      <w:numFmt w:val="lowerRoman"/>
      <w:start w:val="1"/>
    </w:lvl>
  </w:abstractNum>
  <w:abstractNum w:abstractNumId="79">
    <w:nsid w:val="69E373"/>
    <w:multiLevelType w:val="hybridMultilevel"/>
    <w:lvl w:ilvl="0">
      <w:lvlJc w:val="left"/>
      <w:lvlText w:val="(%1)"/>
      <w:numFmt w:val="lowerLetter"/>
      <w:start w:val="3"/>
    </w:lvl>
  </w:abstractNum>
  <w:abstractNum w:abstractNumId="80">
    <w:nsid w:val="2C27173B"/>
    <w:multiLevelType w:val="hybridMultilevel"/>
    <w:lvl w:ilvl="0">
      <w:lvlJc w:val="left"/>
      <w:lvlText w:val="(%1)"/>
      <w:numFmt w:val="lowerLetter"/>
      <w:start w:val="2"/>
    </w:lvl>
  </w:abstractNum>
  <w:abstractNum w:abstractNumId="81">
    <w:nsid w:val="4C9B0904"/>
    <w:multiLevelType w:val="hybridMultilevel"/>
    <w:lvl w:ilvl="0">
      <w:lvlJc w:val="left"/>
      <w:lvlText w:val="(%1)"/>
      <w:numFmt w:val="lowerLetter"/>
      <w:start w:val="4"/>
    </w:lvl>
  </w:abstractNum>
  <w:abstractNum w:abstractNumId="82">
    <w:nsid w:val="6AA7B75C"/>
    <w:multiLevelType w:val="hybridMultilevel"/>
    <w:lvl w:ilvl="0">
      <w:lvlJc w:val="left"/>
      <w:lvlText w:val="(%1)"/>
      <w:numFmt w:val="lowerLetter"/>
      <w:start w:val="2"/>
    </w:lvl>
  </w:abstractNum>
  <w:abstractNum w:abstractNumId="83">
    <w:nsid w:val="1DF029D3"/>
    <w:multiLevelType w:val="hybridMultilevel"/>
    <w:lvl w:ilvl="0">
      <w:lvlJc w:val="left"/>
      <w:lvlText w:val="(%1)"/>
      <w:numFmt w:val="lowerLetter"/>
      <w:start w:val="2"/>
    </w:lvl>
    <w:lvl w:ilvl="1">
      <w:lvlJc w:val="left"/>
      <w:lvlText w:val="(%2)"/>
      <w:numFmt w:val="lowerRoman"/>
      <w:start w:val="1"/>
    </w:lvl>
  </w:abstractNum>
  <w:abstractNum w:abstractNumId="84">
    <w:nsid w:val="5675FF36"/>
    <w:multiLevelType w:val="hybridMultilevel"/>
    <w:lvl w:ilvl="0">
      <w:lvlJc w:val="left"/>
      <w:lvlText w:val="(%1)"/>
      <w:numFmt w:val="lowerLetter"/>
      <w:start w:val="2"/>
    </w:lvl>
  </w:abstractNum>
  <w:abstractNum w:abstractNumId="85">
    <w:nsid w:val="3DD15094"/>
    <w:multiLevelType w:val="hybridMultilevel"/>
    <w:lvl w:ilvl="0">
      <w:lvlJc w:val="left"/>
      <w:lvlText w:val="(%1)"/>
      <w:numFmt w:val="lowerLetter"/>
      <w:start w:val="2"/>
    </w:lvl>
  </w:abstractNum>
  <w:abstractNum w:abstractNumId="86">
    <w:nsid w:val="3DB012B3"/>
    <w:multiLevelType w:val="hybridMultilevel"/>
    <w:lvl w:ilvl="0">
      <w:lvlJc w:val="left"/>
      <w:lvlText w:val="(%1)"/>
      <w:numFmt w:val="lowerLetter"/>
      <w:start w:val="2"/>
    </w:lvl>
  </w:abstractNum>
  <w:abstractNum w:abstractNumId="87">
    <w:nsid w:val="2708C9AF"/>
    <w:multiLevelType w:val="hybridMultilevel"/>
    <w:lvl w:ilvl="0">
      <w:lvlJc w:val="left"/>
      <w:lvlText w:val="(%1)"/>
      <w:numFmt w:val="lowerLetter"/>
      <w:start w:val="2"/>
    </w:lvl>
  </w:abstractNum>
  <w:abstractNum w:abstractNumId="88">
    <w:nsid w:val="5B25ACE2"/>
    <w:multiLevelType w:val="hybridMultilevel"/>
    <w:lvl w:ilvl="0">
      <w:lvlJc w:val="left"/>
      <w:lvlText w:val="(%1)"/>
      <w:numFmt w:val="lowerLetter"/>
      <w:start w:val="2"/>
    </w:lvl>
  </w:abstractNum>
  <w:abstractNum w:abstractNumId="89">
    <w:nsid w:val="175DFCF0"/>
    <w:multiLevelType w:val="hybridMultilevel"/>
    <w:lvl w:ilvl="0">
      <w:lvlJc w:val="left"/>
      <w:lvlText w:val="(%1)"/>
      <w:numFmt w:val="lowerLetter"/>
      <w:start w:val="3"/>
    </w:lvl>
    <w:lvl w:ilvl="1">
      <w:lvlJc w:val="left"/>
      <w:lvlText w:val="(%2)"/>
      <w:numFmt w:val="lowerRoman"/>
      <w:start w:val="1"/>
    </w:lvl>
  </w:abstractNum>
  <w:abstractNum w:abstractNumId="90">
    <w:nsid w:val="4F97E3E4"/>
    <w:multiLevelType w:val="hybridMultilevel"/>
    <w:lvl w:ilvl="0">
      <w:lvlJc w:val="left"/>
      <w:lvlText w:val="(%1)"/>
      <w:numFmt w:val="lowerLetter"/>
      <w:start w:val="1"/>
    </w:lvl>
    <w:lvl w:ilvl="1">
      <w:lvlJc w:val="left"/>
      <w:lvlText w:val="(%2)"/>
      <w:numFmt w:val="lowerRoman"/>
      <w:start w:val="1"/>
    </w:lvl>
  </w:abstractNum>
  <w:abstractNum w:abstractNumId="91">
    <w:nsid w:val="53B0A9E"/>
    <w:multiLevelType w:val="hybridMultilevel"/>
    <w:lvl w:ilvl="0">
      <w:lvlJc w:val="left"/>
      <w:lvlText w:val="(%1)"/>
      <w:numFmt w:val="lowerRoman"/>
      <w:start w:val="1"/>
    </w:lvl>
  </w:abstractNum>
  <w:abstractNum w:abstractNumId="92">
    <w:nsid w:val="34FD6B4F"/>
    <w:multiLevelType w:val="hybridMultilevel"/>
    <w:lvl w:ilvl="0">
      <w:lvlJc w:val="left"/>
      <w:lvlText w:val="%1"/>
      <w:numFmt w:val="lowerLetter"/>
      <w:start w:val="1"/>
    </w:lvl>
    <w:lvl w:ilvl="1">
      <w:lvlJc w:val="left"/>
      <w:lvlText w:val="(%2)"/>
      <w:numFmt w:val="lowerRoman"/>
      <w:start w:val="6"/>
    </w:lvl>
  </w:abstractNum>
  <w:abstractNum w:abstractNumId="93">
    <w:nsid w:val="5915FF32"/>
    <w:multiLevelType w:val="hybridMultilevel"/>
    <w:lvl w:ilvl="0">
      <w:lvlJc w:val="left"/>
      <w:lvlText w:val="(%1)"/>
      <w:numFmt w:val="lowerLetter"/>
      <w:start w:val="2"/>
    </w:lvl>
    <w:lvl w:ilvl="1">
      <w:lvlJc w:val="left"/>
      <w:lvlText w:val="%2"/>
      <w:numFmt w:val="lowerRoman"/>
      <w:start w:val="1"/>
    </w:lvl>
  </w:abstractNum>
  <w:abstractNum w:abstractNumId="94">
    <w:nsid w:val="56438D15"/>
    <w:multiLevelType w:val="hybridMultilevel"/>
    <w:lvl w:ilvl="0">
      <w:lvlJc w:val="left"/>
      <w:lvlText w:val="(%1)"/>
      <w:numFmt w:val="lowerLetter"/>
      <w:start w:val="6"/>
    </w:lvl>
  </w:abstractNum>
  <w:abstractNum w:abstractNumId="95">
    <w:nsid w:val="519E3149"/>
    <w:multiLevelType w:val="hybridMultilevel"/>
    <w:lvl w:ilvl="0">
      <w:lvlJc w:val="left"/>
      <w:lvlText w:val="(%1)"/>
      <w:numFmt w:val="lowerLetter"/>
      <w:start w:val="1"/>
    </w:lvl>
  </w:abstractNum>
  <w:abstractNum w:abstractNumId="96">
    <w:nsid w:val="2C6E4AFD"/>
    <w:multiLevelType w:val="hybridMultilevel"/>
    <w:lvl w:ilvl="0">
      <w:lvlJc w:val="left"/>
      <w:lvlText w:val="(%1)"/>
      <w:numFmt w:val="lowerLetter"/>
      <w:start w:val="7"/>
    </w:lvl>
  </w:abstractNum>
  <w:abstractNum w:abstractNumId="97">
    <w:nsid w:val="17A1B582"/>
    <w:multiLevelType w:val="hybridMultilevel"/>
    <w:lvl w:ilvl="0">
      <w:lvlJc w:val="left"/>
      <w:lvlText w:val="(%1)"/>
      <w:numFmt w:val="lowerLetter"/>
      <w:start w:val="2"/>
    </w:lvl>
    <w:lvl w:ilvl="1">
      <w:lvlJc w:val="left"/>
      <w:lvlText w:val="(%2)"/>
      <w:numFmt w:val="lowerLetter"/>
      <w:start w:val="9"/>
    </w:lvl>
  </w:abstractNum>
  <w:abstractNum w:abstractNumId="98">
    <w:nsid w:val="4DF72E4E"/>
    <w:multiLevelType w:val="hybridMultilevel"/>
    <w:lvl w:ilvl="0">
      <w:lvlJc w:val="left"/>
      <w:lvlText w:val="%1"/>
      <w:numFmt w:val="lowerLetter"/>
      <w:start w:val="1"/>
    </w:lvl>
    <w:lvl w:ilvl="1">
      <w:lvlJc w:val="left"/>
      <w:lvlText w:val="(%2)"/>
      <w:numFmt w:val="lowerLetter"/>
      <w:start w:val="35"/>
    </w:lvl>
  </w:abstractNum>
  <w:abstractNum w:abstractNumId="99">
    <w:nsid w:val="5046B5A9"/>
    <w:multiLevelType w:val="hybridMultilevel"/>
    <w:lvl w:ilvl="0">
      <w:lvlJc w:val="left"/>
      <w:lvlText w:val="(%1)"/>
      <w:numFmt w:val="lowerLetter"/>
      <w:start w:val="3"/>
    </w:lvl>
    <w:lvl w:ilvl="1">
      <w:lvlJc w:val="left"/>
      <w:lvlText w:val="(%2)"/>
      <w:numFmt w:val="lowerLetter"/>
      <w:start w:val="9"/>
    </w:lvl>
  </w:abstractNum>
  <w:abstractNum w:abstractNumId="100">
    <w:nsid w:val="5D888A08"/>
    <w:multiLevelType w:val="hybridMultilevel"/>
    <w:lvl w:ilvl="0">
      <w:lvlJc w:val="left"/>
      <w:lvlText w:val="%1"/>
      <w:numFmt w:val="lowerLetter"/>
      <w:start w:val="1"/>
    </w:lvl>
    <w:lvl w:ilvl="1">
      <w:lvlJc w:val="left"/>
      <w:lvlText w:val="(%2)"/>
      <w:numFmt w:val="lowerLetter"/>
      <w:start w:val="35"/>
    </w:lvl>
  </w:abstractNum>
  <w:abstractNum w:abstractNumId="101">
    <w:nsid w:val="2A082C70"/>
    <w:multiLevelType w:val="hybridMultilevel"/>
    <w:lvl w:ilvl="0">
      <w:lvlJc w:val="left"/>
      <w:lvlText w:val="(%1)"/>
      <w:numFmt w:val="lowerLetter"/>
      <w:start w:val="4"/>
    </w:lvl>
    <w:lvl w:ilvl="1">
      <w:lvlJc w:val="left"/>
      <w:lvlText w:val="%2"/>
      <w:numFmt w:val="lowerLetter"/>
      <w:start w:val="1"/>
    </w:lvl>
  </w:abstractNum>
  <w:abstractNum w:abstractNumId="102">
    <w:nsid w:val="5EC6AFD4"/>
    <w:multiLevelType w:val="hybridMultilevel"/>
    <w:lvl w:ilvl="0">
      <w:lvlJc w:val="left"/>
      <w:lvlText w:val="(%1)"/>
      <w:numFmt w:val="lowerRoman"/>
      <w:start w:val="4"/>
    </w:lvl>
  </w:abstractNum>
  <w:abstractNum w:abstractNumId="103">
    <w:nsid w:val="19E21BB2"/>
    <w:multiLevelType w:val="hybridMultilevel"/>
    <w:lvl w:ilvl="0">
      <w:lvlJc w:val="left"/>
      <w:lvlText w:val="(%1)"/>
      <w:numFmt w:val="lowerLetter"/>
      <w:start w:val="1"/>
    </w:lvl>
  </w:abstractNum>
  <w:abstractNum w:abstractNumId="104">
    <w:nsid w:val="75E0858A"/>
    <w:multiLevelType w:val="hybridMultilevel"/>
    <w:lvl w:ilvl="0">
      <w:lvlJc w:val="left"/>
      <w:lvlText w:val="(%1)"/>
      <w:numFmt w:val="lowerLetter"/>
      <w:start w:val="2"/>
    </w:lvl>
  </w:abstractNum>
  <w:abstractNum w:abstractNumId="105">
    <w:nsid w:val="57A61A29"/>
    <w:multiLevelType w:val="hybridMultilevel"/>
    <w:lvl w:ilvl="0">
      <w:lvlJc w:val="left"/>
      <w:lvlText w:val="(%1)"/>
      <w:numFmt w:val="lowerLetter"/>
      <w:start w:val="1"/>
    </w:lvl>
  </w:abstractNum>
  <w:abstractNum w:abstractNumId="106">
    <w:nsid w:val="5399C654"/>
    <w:multiLevelType w:val="hybridMultilevel"/>
    <w:lvl w:ilvl="0">
      <w:lvlJc w:val="left"/>
      <w:lvlText w:val="(%1)"/>
      <w:numFmt w:val="lowerLetter"/>
      <w:start w:val="2"/>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lowerLetter"/>
      <w:start w:val="2"/>
    </w:lvl>
  </w:abstractNum>
  <w:abstractNum w:abstractNumId="110">
    <w:nsid w:val="2157F6BC"/>
    <w:multiLevelType w:val="hybridMultilevel"/>
    <w:lvl w:ilvl="0">
      <w:lvlJc w:val="left"/>
      <w:lvlText w:val="(%1)"/>
      <w:numFmt w:val="lowerLetter"/>
      <w:start w:val="4"/>
    </w:lvl>
  </w:abstractNum>
  <w:abstractNum w:abstractNumId="111">
    <w:nsid w:val="704E1DD5"/>
    <w:multiLevelType w:val="hybridMultilevel"/>
    <w:lvl w:ilvl="0">
      <w:lvlJc w:val="left"/>
      <w:lvlText w:val="(%1)"/>
      <w:numFmt w:val="lowerLetter"/>
      <w:start w:val="11"/>
    </w:lvl>
  </w:abstractNum>
  <w:abstractNum w:abstractNumId="112">
    <w:nsid w:val="57D2F10E"/>
    <w:multiLevelType w:val="hybridMultilevel"/>
    <w:lvl w:ilvl="0">
      <w:lvlJc w:val="left"/>
      <w:lvlText w:val="(%1)"/>
      <w:numFmt w:val="lowerLetter"/>
      <w:start w:val="2"/>
    </w:lvl>
    <w:lvl w:ilvl="1">
      <w:lvlJc w:val="left"/>
      <w:lvlText w:val="(%2)"/>
      <w:numFmt w:val="lowerRoman"/>
      <w:start w:val="1"/>
    </w:lvl>
  </w:abstractNum>
  <w:abstractNum w:abstractNumId="113">
    <w:nsid w:val="BFFAE18"/>
    <w:multiLevelType w:val="hybridMultilevel"/>
    <w:lvl w:ilvl="0">
      <w:lvlJc w:val="left"/>
      <w:lvlText w:val="%1"/>
      <w:numFmt w:val="lowerLetter"/>
      <w:start w:val="1"/>
    </w:lvl>
    <w:lvl w:ilvl="1">
      <w:lvlJc w:val="left"/>
      <w:lvlText w:val="(%2)"/>
      <w:numFmt w:val="lowerRoman"/>
      <w:start w:val="3"/>
    </w:lvl>
  </w:abstractNum>
  <w:abstractNum w:abstractNumId="114">
    <w:nsid w:val="E3E47A8"/>
    <w:multiLevelType w:val="hybridMultilevel"/>
    <w:lvl w:ilvl="0">
      <w:lvlJc w:val="left"/>
      <w:lvlText w:val="(%1)"/>
      <w:numFmt w:val="lowerLetter"/>
      <w:start w:val="4"/>
    </w:lvl>
    <w:lvl w:ilvl="1">
      <w:lvlJc w:val="left"/>
      <w:lvlText w:val="%2"/>
      <w:numFmt w:val="lowerRoman"/>
      <w:start w:val="1"/>
    </w:lvl>
  </w:abstractNum>
  <w:abstractNum w:abstractNumId="115">
    <w:nsid w:val="2E48F044"/>
    <w:multiLevelType w:val="hybridMultilevel"/>
    <w:lvl w:ilvl="0">
      <w:lvlJc w:val="left"/>
      <w:lvlText w:val="(%1)"/>
      <w:numFmt w:val="lowerLetter"/>
      <w:start w:val="2"/>
    </w:lvl>
  </w:abstractNum>
  <w:abstractNum w:abstractNumId="116">
    <w:nsid w:val="49D0FEAC"/>
    <w:multiLevelType w:val="hybridMultilevel"/>
    <w:lvl w:ilvl="0">
      <w:lvlJc w:val="left"/>
      <w:lvlText w:val="(%1)"/>
      <w:numFmt w:val="decimal"/>
      <w:start w:val="1"/>
    </w:lvl>
  </w:abstractNum>
  <w:abstractNum w:abstractNumId="117">
    <w:nsid w:val="4BEE5A5B"/>
    <w:multiLevelType w:val="hybridMultilevel"/>
    <w:lvl w:ilvl="0">
      <w:lvlJc w:val="left"/>
      <w:lvlText w:val="(%1)"/>
      <w:numFmt w:val="lowerLetter"/>
      <w:start w:val="2"/>
    </w:lvl>
  </w:abstractNum>
  <w:abstractNum w:abstractNumId="118">
    <w:nsid w:val="5551B9F3"/>
    <w:multiLevelType w:val="hybridMultilevel"/>
    <w:lvl w:ilvl="0">
      <w:lvlJc w:val="left"/>
      <w:lvlText w:val="(%1)"/>
      <w:numFmt w:val="lowerRoman"/>
      <w:start w:val="1"/>
    </w:lvl>
    <w:lvl w:ilvl="1">
      <w:lvlJc w:val="left"/>
      <w:lvlText w:val="(%2)"/>
      <w:numFmt w:val="upperLetter"/>
      <w:start w:val="1"/>
    </w:lvl>
  </w:abstractNum>
  <w:abstractNum w:abstractNumId="119">
    <w:nsid w:val="24F6AB8E"/>
    <w:multiLevelType w:val="hybridMultilevel"/>
    <w:lvl w:ilvl="0">
      <w:lvlJc w:val="left"/>
      <w:lvlText w:val="(%1)"/>
      <w:numFmt w:val="lowerRoman"/>
      <w:start w:val="3"/>
    </w:lvl>
  </w:abstractNum>
  <w:abstractNum w:abstractNumId="120">
    <w:nsid w:val="634C574C"/>
    <w:multiLevelType w:val="hybridMultilevel"/>
    <w:lvl w:ilvl="0">
      <w:lvlJc w:val="left"/>
      <w:lvlText w:val="%1"/>
      <w:numFmt w:val="lowerLetter"/>
      <w:start w:val="1"/>
    </w:lvl>
    <w:lvl w:ilvl="1">
      <w:lvlJc w:val="left"/>
      <w:lvlText w:val="(%2)"/>
      <w:numFmt w:val="lowerRoman"/>
      <w:start w:val="4"/>
    </w:lvl>
  </w:abstractNum>
  <w:abstractNum w:abstractNumId="121">
    <w:nsid w:val="24E99DD7"/>
    <w:multiLevelType w:val="hybridMultilevel"/>
    <w:lvl w:ilvl="0">
      <w:lvlJc w:val="left"/>
      <w:lvlText w:val="(%1)"/>
      <w:numFmt w:val="lowerLetter"/>
      <w:start w:val="2"/>
    </w:lvl>
    <w:lvl w:ilvl="1">
      <w:lvlJc w:val="left"/>
      <w:lvlText w:val="%2"/>
      <w:numFmt w:val="lowerRoman"/>
      <w:start w:val="1"/>
    </w:lvl>
  </w:abstractNum>
  <w:abstractNum w:abstractNumId="122">
    <w:nsid w:val="2A31B62D"/>
    <w:multiLevelType w:val="hybridMultilevel"/>
    <w:lvl w:ilvl="0">
      <w:lvlJc w:val="left"/>
      <w:lvlText w:val="(%1)"/>
      <w:numFmt w:val="lowerLetter"/>
      <w:start w:val="2"/>
    </w:lvl>
    <w:lvl w:ilvl="1">
      <w:lvlJc w:val="left"/>
      <w:lvlText w:val="(%2)"/>
      <w:numFmt w:val="lowerRoman"/>
      <w:start w:val="1"/>
    </w:lvl>
  </w:abstractNum>
  <w:abstractNum w:abstractNumId="123">
    <w:nsid w:val="1849C29B"/>
    <w:multiLevelType w:val="hybridMultilevel"/>
    <w:lvl w:ilvl="0">
      <w:lvlJc w:val="left"/>
      <w:lvlText w:val="(%1)"/>
      <w:numFmt w:val="lowerRoman"/>
      <w:start w:val="4"/>
    </w:lvl>
  </w:abstractNum>
  <w:abstractNum w:abstractNumId="124">
    <w:nsid w:val="7DFF9D09"/>
    <w:multiLevelType w:val="hybridMultilevel"/>
    <w:lvl w:ilvl="0">
      <w:lvlJc w:val="left"/>
      <w:lvlText w:val="(%1)"/>
      <w:numFmt w:val="lowerLetter"/>
      <w:start w:val="3"/>
    </w:lvl>
    <w:lvl w:ilvl="1">
      <w:lvlJc w:val="left"/>
      <w:lvlText w:val="(%2)"/>
      <w:numFmt w:val="lowerLetter"/>
      <w:start w:val="9"/>
    </w:lvl>
  </w:abstractNum>
  <w:abstractNum w:abstractNumId="125">
    <w:nsid w:val="754342"/>
    <w:multiLevelType w:val="hybridMultilevel"/>
    <w:lvl w:ilvl="0">
      <w:lvlJc w:val="left"/>
      <w:lvlText w:val="(%1)"/>
      <w:numFmt w:val="lowerRoman"/>
      <w:start w:val="2"/>
    </w:lvl>
  </w:abstractNum>
  <w:abstractNum w:abstractNumId="126">
    <w:nsid w:val="69E7F3E5"/>
    <w:multiLevelType w:val="hybridMultilevel"/>
    <w:lvl w:ilvl="0">
      <w:lvlJc w:val="left"/>
      <w:lvlText w:val="(%1)"/>
      <w:numFmt w:val="lowerLetter"/>
      <w:start w:val="2"/>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Letter"/>
      <w:start w:val="3"/>
    </w:lvl>
  </w:abstractNum>
  <w:abstractNum w:abstractNumId="129">
    <w:nsid w:val="37DF2233"/>
    <w:multiLevelType w:val="hybridMultilevel"/>
    <w:lvl w:ilvl="0">
      <w:lvlJc w:val="left"/>
      <w:lvlText w:val="(%1)"/>
      <w:numFmt w:val="lowerLetter"/>
      <w:start w:val="12"/>
    </w:lvl>
  </w:abstractNum>
  <w:abstractNum w:abstractNumId="130">
    <w:nsid w:val="7AB49DAF"/>
    <w:multiLevelType w:val="hybridMultilevel"/>
    <w:lvl w:ilvl="0">
      <w:lvlJc w:val="left"/>
      <w:lvlText w:val="(%1)"/>
      <w:numFmt w:val="lowerRoman"/>
      <w:start w:val="1"/>
    </w:lvl>
  </w:abstractNum>
  <w:abstractNum w:abstractNumId="131">
    <w:nsid w:val="759F82CD"/>
    <w:multiLevelType w:val="hybridMultilevel"/>
    <w:lvl w:ilvl="0">
      <w:lvlJc w:val="left"/>
      <w:lvlText w:val="%1"/>
      <w:numFmt w:val="lowerLetter"/>
      <w:start w:val="1"/>
    </w:lvl>
    <w:lvl w:ilvl="1">
      <w:lvlJc w:val="left"/>
      <w:lvlText w:val="(%2)"/>
      <w:numFmt w:val="lowerRoman"/>
      <w:start w:val="6"/>
    </w:lvl>
  </w:abstractNum>
  <w:abstractNum w:abstractNumId="132">
    <w:nsid w:val="61E74EA3"/>
    <w:multiLevelType w:val="hybridMultilevel"/>
    <w:lvl w:ilvl="0">
      <w:lvlJc w:val="left"/>
      <w:lvlText w:val="(%1)"/>
      <w:numFmt w:val="lowerLetter"/>
      <w:start w:val="2"/>
    </w:lvl>
    <w:lvl w:ilvl="1">
      <w:lvlJc w:val="left"/>
      <w:lvlText w:val="%2"/>
      <w:numFmt w:val="lowerRoman"/>
      <w:start w:val="1"/>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Letter"/>
      <w:start w:val="4"/>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lowerLetter"/>
      <w:start w:val="2"/>
    </w:lvl>
  </w:abstractNum>
  <w:abstractNum w:abstractNumId="137">
    <w:nsid w:val="631B64D4"/>
    <w:multiLevelType w:val="hybridMultilevel"/>
    <w:lvl w:ilvl="0">
      <w:lvlJc w:val="left"/>
      <w:lvlText w:val="(%1)"/>
      <w:numFmt w:val="lowerLetter"/>
      <w:start w:val="4"/>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1"/>
    </w:lvl>
  </w:abstractNum>
  <w:abstractNum w:abstractNumId="140">
    <w:nsid w:val="6E534CDE"/>
    <w:multiLevelType w:val="hybridMultilevel"/>
    <w:lvl w:ilvl="0">
      <w:lvlJc w:val="left"/>
      <w:lvlText w:val="%1."/>
      <w:numFmt w:val="decimal"/>
      <w:start w:val="2"/>
    </w:lvl>
  </w:abstractNum>
  <w:abstractNum w:abstractNumId="141">
    <w:nsid w:val="1A0DDE32"/>
    <w:multiLevelType w:val="hybridMultilevel"/>
    <w:lvl w:ilvl="0">
      <w:lvlJc w:val="left"/>
      <w:lvlText w:val="%1."/>
      <w:numFmt w:val="decimal"/>
      <w:start w:val="5"/>
    </w:lvl>
  </w:abstractNum>
  <w:abstractNum w:abstractNumId="142">
    <w:nsid w:val="65968C1C"/>
    <w:multiLevelType w:val="hybridMultilevel"/>
    <w:lvl w:ilvl="0">
      <w:lvlJc w:val="left"/>
      <w:lvlText w:val="%1."/>
      <w:numFmt w:val="decimal"/>
      <w:start w:val="11"/>
    </w:lvl>
  </w:abstractNum>
  <w:abstractNum w:abstractNumId="143">
    <w:nsid w:val="46263DEC"/>
    <w:multiLevelType w:val="hybridMultilevel"/>
    <w:lvl w:ilvl="0">
      <w:lvlJc w:val="left"/>
      <w:lvlText w:val="1"/>
      <w:numFmt w:val="bullet"/>
      <w:start w:val="1"/>
    </w:lvl>
  </w:abstractNum>
  <w:abstractNum w:abstractNumId="144">
    <w:nsid w:val="260D8C4A"/>
    <w:multiLevelType w:val="hybridMultilevel"/>
    <w:lvl w:ilvl="0">
      <w:lvlJc w:val="left"/>
      <w:lvlText w:val="2"/>
      <w:numFmt w:val="bullet"/>
      <w:start w:val="1"/>
    </w:lvl>
  </w:abstractNum>
  <w:abstractNum w:abstractNumId="145">
    <w:nsid w:val="73D4D3C4"/>
    <w:multiLevelType w:val="hybridMultilevel"/>
    <w:lvl w:ilvl="0">
      <w:lvlJc w:val="left"/>
      <w:lvlText w:val="3"/>
      <w:numFmt w:val="bullet"/>
      <w:start w:val="1"/>
    </w:lvl>
  </w:abstractNum>
  <w:abstractNum w:abstractNumId="146">
    <w:nsid w:val="746F2E30"/>
    <w:multiLevelType w:val="hybridMultilevel"/>
    <w:lvl w:ilvl="0">
      <w:lvlJc w:val="left"/>
      <w:lvlText w:val="4"/>
      <w:numFmt w:val="bullet"/>
      <w:start w:val="1"/>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11"/>
    </w:lvl>
  </w:abstractNum>
  <w:abstractNum w:abstractNumId="149">
    <w:nsid w:val="49C0E823"/>
    <w:multiLevelType w:val="hybridMultilevel"/>
    <w:lvl w:ilvl="0">
      <w:lvlJc w:val="left"/>
      <w:lvlText w:val="(%1)"/>
      <w:numFmt w:val="lowerRoman"/>
      <w:start w:val="2"/>
    </w:lvl>
  </w:abstractNum>
  <w:abstractNum w:abstractNumId="150">
    <w:nsid w:val="14D53685"/>
    <w:multiLevelType w:val="hybridMultilevel"/>
    <w:lvl w:ilvl="0">
      <w:lvlJc w:val="left"/>
      <w:lvlText w:val="(%1)"/>
      <w:numFmt w:val="lowerLetter"/>
      <w:start w:val="1"/>
    </w:lvl>
  </w:abstractNum>
  <w:abstractNum w:abstractNumId="151">
    <w:nsid w:val="230F856C"/>
    <w:multiLevelType w:val="hybridMultilevel"/>
    <w:lvl w:ilvl="0">
      <w:lvlJc w:val="left"/>
      <w:lvlText w:val="%1"/>
      <w:numFmt w:val="lowerLetter"/>
      <w:start w:val="1"/>
    </w:lvl>
    <w:lvl w:ilvl="1">
      <w:lvlJc w:val="left"/>
      <w:lvlText w:val="(%2)"/>
      <w:numFmt w:val="lowerLetter"/>
      <w:start w:val="11"/>
    </w:lvl>
  </w:abstractNum>
  <w:abstractNum w:abstractNumId="152">
    <w:nsid w:val="6EAA85FB"/>
    <w:multiLevelType w:val="hybridMultilevel"/>
    <w:lvl w:ilvl="0">
      <w:lvlJc w:val="left"/>
      <w:lvlText w:val="(%1)"/>
      <w:numFmt w:val="lowerLetter"/>
      <w:start w:val="9"/>
    </w:lvl>
    <w:lvl w:ilvl="1">
      <w:lvlJc w:val="left"/>
      <w:lvlText w:val="%2"/>
      <w:numFmt w:val="lowerLetter"/>
      <w:start w:val="1"/>
    </w:lvl>
  </w:abstractNum>
  <w:abstractNum w:abstractNumId="153">
    <w:nsid w:val="3F06ECB2"/>
    <w:multiLevelType w:val="hybridMultilevel"/>
    <w:lvl w:ilvl="0">
      <w:lvlJc w:val="left"/>
      <w:lvlText w:val="(%1)"/>
      <w:numFmt w:val="lowerLetter"/>
      <w:start w:val="1"/>
    </w:lvl>
  </w:abstractNum>
  <w:abstractNum w:abstractNumId="154">
    <w:nsid w:val="3B594807"/>
    <w:multiLevelType w:val="hybridMultilevel"/>
    <w:lvl w:ilvl="0">
      <w:lvlJc w:val="left"/>
      <w:lvlText w:val="(%1)"/>
      <w:numFmt w:val="lowerLetter"/>
      <w:start w:val="1"/>
    </w:lvl>
  </w:abstractNum>
  <w:abstractNum w:abstractNumId="155">
    <w:nsid w:val="6CAA230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jpe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jpeg"/><Relationship Id="rId219" Type="http://schemas.openxmlformats.org/officeDocument/2006/relationships/image" Target="media/image210.jpeg"/><Relationship Id="rId220" Type="http://schemas.openxmlformats.org/officeDocument/2006/relationships/image" Target="media/image211.jpeg"/><Relationship Id="rId221" Type="http://schemas.openxmlformats.org/officeDocument/2006/relationships/image" Target="media/image212.jpeg"/><Relationship Id="rId222" Type="http://schemas.openxmlformats.org/officeDocument/2006/relationships/image" Target="media/image213.jpe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jpeg"/><Relationship Id="rId29" Type="http://schemas.openxmlformats.org/officeDocument/2006/relationships/hyperlink" Target="http://www.sec.gov/Archives/edgar/data/1595761/000110465919024226/a18-41107_120f.htm" TargetMode="External"/><Relationship Id="rId59" Type="http://schemas.openxmlformats.org/officeDocument/2006/relationships/hyperlink" Target="http://www.sec.gov/Archives/edgar/data/1595761/000104746919003733/a2239072z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2019-12-01T14:09:23Z</dcterms:created>
  <dcterms:modified xsi:type="dcterms:W3CDTF">2019-12-01T14:09:23Z</dcterms:modified>
</cp:coreProperties>
</file>