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tm2132392-2_f3asr.htm"/>
        <w:bookmarkStart w:id="1" w:name="kstm21323922_f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160" w:before="557" w:after="437"/>
        <w:ind w:left="540" w:right="0" w:hanging="0"/>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As filed with the Securities and Exchange Commission on November 26, 2021</w:t>
      </w:r>
      <w:r>
        <w:rPr>
          <w:rFonts w:ascii="Times New Roman;Times;serif" w:hAnsi="Times New Roman;Times;serif"/>
          <w:b/>
          <w:i w:val="false"/>
          <w:caps w:val="false"/>
          <w:smallCaps w:val="false"/>
          <w:color w:val="000000"/>
          <w:spacing w:val="3"/>
          <w:sz w:val="16"/>
        </w:rPr>
        <w:t xml:space="preserve"> </w:t>
      </w:r>
    </w:p>
    <w:p>
      <w:pPr>
        <w:pStyle w:val="TextBody"/>
        <w:spacing w:lineRule="atLeast" w:line="160" w:before="10" w:after="283"/>
        <w:jc w:val="right"/>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REGISTRATION NO. 333-      </w:t>
      </w:r>
      <w:r>
        <w:rPr>
          <w:rFonts w:ascii="Times New Roman;Times;serif" w:hAnsi="Times New Roman;Times;serif"/>
          <w:b/>
          <w:i w:val="false"/>
          <w:caps w:val="false"/>
          <w:smallCaps w:val="false"/>
          <w:color w:val="000000"/>
          <w:sz w:val="16"/>
        </w:rPr>
        <w:t>​</w:t>
      </w:r>
    </w:p>
    <w:p>
      <w:pPr>
        <w:pStyle w:val="TextBody"/>
        <w:spacing w:before="23" w:after="283"/>
        <w:ind w:left="540" w:right="0" w:hanging="0"/>
        <w:rPr>
          <w:caps w:val="false"/>
          <w:smallCaps w:val="false"/>
          <w:color w:val="000000"/>
          <w:bdr w:val="single" w:sz="16" w:space="1" w:color="000000"/>
        </w:rPr>
      </w:pPr>
      <w:r>
        <w:rPr>
          <w:caps w:val="false"/>
          <w:smallCaps w:val="false"/>
          <w:color w:val="000000"/>
          <w:bdr w:val="single" w:sz="16" w:space="1" w:color="000000"/>
        </w:rPr>
        <w:t>​</w:t>
      </w:r>
    </w:p>
    <w:p>
      <w:pPr>
        <w:pStyle w:val="TextBody"/>
        <w:spacing w:before="30" w:after="283"/>
        <w:ind w:left="5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8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STATES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SECURITIES AND EXCHANGE COMMISSION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160" w:before="2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Washington, D.C. 20549</w:t>
      </w:r>
      <w:r>
        <w:rPr>
          <w:rFonts w:ascii="Times New Roman;Times;serif" w:hAnsi="Times New Roman;Times;serif"/>
          <w:b/>
          <w:i w:val="false"/>
          <w:caps w:val="false"/>
          <w:smallCaps w:val="false"/>
          <w:color w:val="000000"/>
          <w:spacing w:val="3"/>
          <w:sz w:val="16"/>
        </w:rPr>
        <w:t xml:space="preserve"> </w:t>
      </w:r>
    </w:p>
    <w:p>
      <w:pPr>
        <w:pStyle w:val="TextBody"/>
        <w:spacing w:before="7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4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F-3</w:t>
      </w:r>
      <w:r>
        <w:rPr>
          <w:rFonts w:ascii="Times New Roman;Times;serif" w:hAnsi="Times New Roman;Times;serif"/>
          <w:b/>
          <w:i w:val="false"/>
          <w:caps w:val="false"/>
          <w:smallCaps w:val="false"/>
          <w:color w:val="000000"/>
          <w:spacing w:val="4"/>
          <w:sz w:val="20"/>
        </w:rPr>
        <w:t xml:space="preserve"> </w:t>
      </w:r>
    </w:p>
    <w:p>
      <w:pPr>
        <w:pStyle w:val="TextBody"/>
        <w:spacing w:lineRule="atLeast" w:line="160" w:before="4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REGISTRATION STATEMENT UNDER THE SECURITIES ACT OF 1933</w:t>
      </w:r>
      <w:r>
        <w:rPr>
          <w:rFonts w:ascii="Times New Roman;Times;serif" w:hAnsi="Times New Roman;Times;serif"/>
          <w:b/>
          <w:i w:val="false"/>
          <w:caps w:val="false"/>
          <w:smallCaps w:val="false"/>
          <w:color w:val="000000"/>
          <w:spacing w:val="3"/>
          <w:sz w:val="16"/>
        </w:rPr>
        <w:t xml:space="preserve"> </w:t>
      </w:r>
    </w:p>
    <w:p>
      <w:pPr>
        <w:pStyle w:val="TextBody"/>
        <w:spacing w:before="139"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50" w:before="86" w:after="283"/>
        <w:jc w:val="center"/>
        <w:rPr>
          <w:rFonts w:ascii="Times New Roman;Times;serif" w:hAnsi="Times New Roman;Times;serif"/>
          <w:b w:val="false"/>
          <w:i w:val="false"/>
          <w:caps w:val="false"/>
          <w:smallCaps w:val="false"/>
          <w:color w:val="000000"/>
          <w:spacing w:val="5"/>
          <w:sz w:val="24"/>
        </w:rPr>
      </w:pPr>
      <w:r>
        <w:rPr>
          <w:rFonts w:ascii="Times New Roman;Times;serif" w:hAnsi="Times New Roman;Times;serif"/>
          <w:b w:val="false"/>
          <w:i w:val="false"/>
          <w:caps w:val="false"/>
          <w:smallCaps w:val="false"/>
          <w:color w:val="000000"/>
          <w:spacing w:val="5"/>
          <w:sz w:val="24"/>
        </w:rPr>
        <w:t xml:space="preserve">WEIBO CORPORATION </w:t>
      </w:r>
    </w:p>
    <w:p>
      <w:pPr>
        <w:pStyle w:val="TextBody"/>
        <w:spacing w:lineRule="atLeast" w:line="160" w:before="3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p>
      <w:pPr>
        <w:pStyle w:val="TextBody"/>
        <w:spacing w:before="79"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60" w:before="76"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Not Applicable</w:t>
      </w:r>
      <w:r>
        <w:rPr>
          <w:rFonts w:ascii="Times New Roman;Times;serif" w:hAnsi="Times New Roman;Times;serif"/>
          <w:b/>
          <w:i w:val="false"/>
          <w:caps w:val="false"/>
          <w:smallCaps w:val="false"/>
          <w:color w:val="000000"/>
          <w:spacing w:val="3"/>
          <w:sz w:val="16"/>
        </w:rPr>
        <w:t xml:space="preserve"> </w:t>
      </w:r>
    </w:p>
    <w:p>
      <w:pPr>
        <w:pStyle w:val="TextBody"/>
        <w:spacing w:lineRule="atLeast" w:line="160" w:before="3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(Translation of Registrant’s name into English) </w:t>
      </w:r>
    </w:p>
    <w:p>
      <w:pPr>
        <w:pStyle w:val="TextBody"/>
        <w:spacing w:before="79" w:after="283"/>
        <w:jc w:val="center"/>
        <w:rPr>
          <w:caps w:val="false"/>
          <w:smallCaps w:val="false"/>
          <w:color w:val="000000"/>
          <w:bdr w:val="single" w:sz="8" w:space="1" w:color="000000"/>
        </w:rPr>
      </w:pPr>
      <w:r>
        <w:rPr>
          <w:caps w:val="false"/>
          <w:smallCaps w:val="false"/>
          <w:color w:val="000000"/>
          <w:bdr w:val="single" w:sz="8" w:space="1" w:color="000000"/>
        </w:rPr>
        <w:t>​</w:t>
      </w:r>
    </w:p>
    <w:tbl>
      <w:tblPr>
        <w:tblW w:w="5937" w:type="dxa"/>
        <w:jc w:val="left"/>
        <w:tblInd w:w="540" w:type="dxa"/>
        <w:tblCellMar>
          <w:top w:w="0" w:type="dxa"/>
          <w:left w:w="0" w:type="dxa"/>
          <w:bottom w:w="0" w:type="dxa"/>
          <w:right w:w="0" w:type="dxa"/>
        </w:tblCellMar>
      </w:tblPr>
      <w:tblGrid>
        <w:gridCol w:w="124"/>
        <w:gridCol w:w="3061"/>
        <w:gridCol w:w="109"/>
        <w:gridCol w:w="109"/>
        <w:gridCol w:w="2380"/>
        <w:gridCol w:w="154"/>
      </w:tblGrid>
      <w:tr>
        <w:trPr/>
        <w:tc>
          <w:tcPr>
            <w:tcW w:w="124" w:type="dxa"/>
            <w:tcBorders/>
            <w:shd w:fill="auto" w:val="clear"/>
            <w:vAlign w:val="center"/>
          </w:tcPr>
          <w:p>
            <w:pPr>
              <w:pStyle w:val="TableContents"/>
              <w:spacing w:before="0" w:after="283"/>
              <w:rPr/>
            </w:pPr>
            <w:r>
              <w:rPr/>
              <w:t>​</w:t>
            </w:r>
          </w:p>
        </w:tc>
        <w:tc>
          <w:tcPr>
            <w:tcW w:w="3061" w:type="dxa"/>
            <w:tcBorders/>
            <w:shd w:fill="auto" w:val="clear"/>
            <w:vAlign w:val="center"/>
          </w:tcPr>
          <w:p>
            <w:pPr>
              <w:pStyle w:val="TableContents"/>
              <w:spacing w:before="0" w:after="0"/>
              <w:jc w:val="center"/>
              <w:rPr/>
            </w:pPr>
            <w:r>
              <w:rPr>
                <w:b/>
                <w:spacing w:val="-3"/>
              </w:rPr>
              <w:t>Cayman Islands</w:t>
            </w:r>
            <w:r>
              <w:rPr>
                <w:spacing w:val="3"/>
              </w:rPr>
              <w:t xml:space="preserve"> </w:t>
            </w:r>
            <w:r>
              <w:rPr/>
              <w:br/>
            </w:r>
            <w:r>
              <w:rPr>
                <w:spacing w:val="3"/>
              </w:rPr>
              <w:t xml:space="preserve">(State or other jurisdiction of </w:t>
            </w:r>
            <w:r>
              <w:rPr/>
              <w:br/>
            </w:r>
            <w:r>
              <w:rPr>
                <w:spacing w:val="3"/>
              </w:rPr>
              <w:t xml:space="preserve">incorporation or organization)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80" w:type="dxa"/>
            <w:tcBorders/>
            <w:shd w:fill="auto" w:val="clear"/>
            <w:vAlign w:val="center"/>
          </w:tcPr>
          <w:p>
            <w:pPr>
              <w:pStyle w:val="TableContents"/>
              <w:spacing w:before="0" w:after="0"/>
              <w:jc w:val="center"/>
              <w:rPr/>
            </w:pPr>
            <w:r>
              <w:rPr>
                <w:b/>
                <w:spacing w:val="-3"/>
              </w:rPr>
              <w:t>Not Applicable</w:t>
            </w:r>
            <w:r>
              <w:rPr/>
              <w:t xml:space="preserve"> </w:t>
              <w:br/>
            </w:r>
            <w:r>
              <w:rPr>
                <w:spacing w:val="3"/>
              </w:rPr>
              <w:t>(I.R.S. Employer</w:t>
            </w:r>
            <w:r>
              <w:rPr/>
              <w:t xml:space="preserve"> </w:t>
              <w:br/>
            </w:r>
            <w:r>
              <w:rPr>
                <w:spacing w:val="3"/>
              </w:rPr>
              <w:t>Identification Number)</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160" w:before="188" w:after="283"/>
        <w:ind w:left="540" w:right="0" w:hanging="0"/>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8/F, QIHAO Plaza, No. 8 Xinyuan S. Road</w:t>
      </w:r>
      <w:r>
        <w:rPr>
          <w:rFonts w:ascii="Times New Roman;Times;serif" w:hAnsi="Times New Roman;Times;serif"/>
          <w:b/>
          <w:i w:val="false"/>
          <w:caps w:val="false"/>
          <w:smallCaps w:val="false"/>
          <w:color w:val="000000"/>
          <w:spacing w:val="3"/>
          <w:sz w:val="16"/>
        </w:rPr>
        <w:t xml:space="preserve"> </w:t>
      </w:r>
    </w:p>
    <w:p>
      <w:pPr>
        <w:pStyle w:val="TextBody"/>
        <w:spacing w:lineRule="atLeast" w:line="160" w:before="3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Chaoyang District, Beijing 100027</w:t>
      </w:r>
      <w:r>
        <w:rPr>
          <w:rFonts w:ascii="Times New Roman;Times;serif" w:hAnsi="Times New Roman;Times;serif"/>
          <w:b/>
          <w:i w:val="false"/>
          <w:caps w:val="false"/>
          <w:smallCaps w:val="false"/>
          <w:color w:val="000000"/>
          <w:spacing w:val="3"/>
          <w:sz w:val="16"/>
        </w:rPr>
        <w:t xml:space="preserve"> </w:t>
      </w:r>
    </w:p>
    <w:p>
      <w:pPr>
        <w:pStyle w:val="TextBody"/>
        <w:spacing w:lineRule="atLeast" w:line="160" w:before="3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People’s Republic of China</w:t>
      </w:r>
      <w:r>
        <w:rPr>
          <w:rFonts w:ascii="Times New Roman;Times;serif" w:hAnsi="Times New Roman;Times;serif"/>
          <w:b/>
          <w:i w:val="false"/>
          <w:caps w:val="false"/>
          <w:smallCaps w:val="false"/>
          <w:color w:val="000000"/>
          <w:spacing w:val="3"/>
          <w:sz w:val="16"/>
        </w:rPr>
        <w:t xml:space="preserve"> </w:t>
      </w:r>
    </w:p>
    <w:p>
      <w:pPr>
        <w:pStyle w:val="TextBody"/>
        <w:spacing w:lineRule="atLeast" w:line="160" w:before="3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+86 (10) 5898-3095</w:t>
      </w:r>
      <w:r>
        <w:rPr>
          <w:rFonts w:ascii="Times New Roman;Times;serif" w:hAnsi="Times New Roman;Times;serif"/>
          <w:b/>
          <w:i w:val="false"/>
          <w:caps w:val="false"/>
          <w:smallCaps w:val="false"/>
          <w:color w:val="000000"/>
          <w:sz w:val="16"/>
        </w:rPr>
        <w:t xml:space="preserve"> </w:t>
        <w:br/>
      </w:r>
      <w:r>
        <w:rPr>
          <w:rFonts w:ascii="Times New Roman;Times;serif" w:hAnsi="Times New Roman;Times;serif"/>
          <w:b w:val="false"/>
          <w:i w:val="false"/>
          <w:caps w:val="false"/>
          <w:smallCaps w:val="false"/>
          <w:color w:val="000000"/>
          <w:spacing w:val="3"/>
          <w:sz w:val="16"/>
        </w:rPr>
        <w:t>(Address and telephone number of Registrant’s principal executive offices</w:t>
      </w:r>
      <w:r>
        <w:rPr>
          <w:rFonts w:ascii="Times New Roman;Times;serif" w:hAnsi="Times New Roman;Times;serif"/>
          <w:b/>
          <w:i w:val="false"/>
          <w:caps w:val="false"/>
          <w:smallCaps w:val="false"/>
          <w:color w:val="000000"/>
          <w:spacing w:val="-3"/>
          <w:sz w:val="16"/>
        </w:rPr>
        <w:t>)</w:t>
      </w:r>
      <w:r>
        <w:rPr>
          <w:rFonts w:ascii="Times New Roman;Times;serif" w:hAnsi="Times New Roman;Times;serif"/>
          <w:b/>
          <w:i w:val="false"/>
          <w:caps w:val="false"/>
          <w:smallCaps w:val="false"/>
          <w:color w:val="000000"/>
          <w:spacing w:val="3"/>
          <w:sz w:val="16"/>
        </w:rPr>
        <w:t xml:space="preserve"> </w:t>
      </w:r>
    </w:p>
    <w:p>
      <w:pPr>
        <w:pStyle w:val="TextBody"/>
        <w:spacing w:before="13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60" w:before="74"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Cogency Global Inc.</w:t>
      </w:r>
      <w:r>
        <w:rPr>
          <w:rFonts w:ascii="Times New Roman;Times;serif" w:hAnsi="Times New Roman;Times;serif"/>
          <w:b/>
          <w:i w:val="false"/>
          <w:caps w:val="false"/>
          <w:smallCaps w:val="false"/>
          <w:color w:val="000000"/>
          <w:spacing w:val="3"/>
          <w:sz w:val="16"/>
        </w:rPr>
        <w:t xml:space="preserve"> </w:t>
      </w:r>
    </w:p>
    <w:p>
      <w:pPr>
        <w:pStyle w:val="TextBody"/>
        <w:spacing w:lineRule="atLeast" w:line="160" w:before="3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122 East 42nd Street, 18th Floor</w:t>
      </w:r>
      <w:r>
        <w:rPr>
          <w:rFonts w:ascii="Times New Roman;Times;serif" w:hAnsi="Times New Roman;Times;serif"/>
          <w:b/>
          <w:i w:val="false"/>
          <w:caps w:val="false"/>
          <w:smallCaps w:val="false"/>
          <w:color w:val="000000"/>
          <w:spacing w:val="3"/>
          <w:sz w:val="16"/>
        </w:rPr>
        <w:t xml:space="preserve"> </w:t>
      </w:r>
    </w:p>
    <w:p>
      <w:pPr>
        <w:pStyle w:val="TextBody"/>
        <w:spacing w:lineRule="atLeast" w:line="160" w:before="3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New York, NY 10168</w:t>
      </w:r>
      <w:r>
        <w:rPr>
          <w:rFonts w:ascii="Times New Roman;Times;serif" w:hAnsi="Times New Roman;Times;serif"/>
          <w:b/>
          <w:i w:val="false"/>
          <w:caps w:val="false"/>
          <w:smallCaps w:val="false"/>
          <w:color w:val="000000"/>
          <w:spacing w:val="3"/>
          <w:sz w:val="16"/>
        </w:rPr>
        <w:t xml:space="preserve"> </w:t>
      </w:r>
    </w:p>
    <w:p>
      <w:pPr>
        <w:pStyle w:val="TextBody"/>
        <w:spacing w:lineRule="atLeast" w:line="160" w:before="3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+1 800-221-0102</w:t>
      </w:r>
      <w:r>
        <w:rPr>
          <w:rFonts w:ascii="Times New Roman;Times;serif" w:hAnsi="Times New Roman;Times;serif"/>
          <w:b/>
          <w:i w:val="false"/>
          <w:caps w:val="false"/>
          <w:smallCaps w:val="false"/>
          <w:color w:val="000000"/>
          <w:spacing w:val="3"/>
          <w:sz w:val="16"/>
        </w:rPr>
        <w:t xml:space="preserve"> </w:t>
      </w:r>
    </w:p>
    <w:p>
      <w:pPr>
        <w:pStyle w:val="TextBody"/>
        <w:spacing w:lineRule="atLeast" w:line="160" w:before="3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address, and telephone number of agent for service) </w:t>
      </w:r>
    </w:p>
    <w:p>
      <w:pPr>
        <w:pStyle w:val="TextBody"/>
        <w:spacing w:before="15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80" w:before="84"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Copies to:</w:t>
      </w:r>
      <w:r>
        <w:rPr>
          <w:rFonts w:ascii="Times New Roman;Times;serif" w:hAnsi="Times New Roman;Times;serif"/>
          <w:b/>
          <w:i w:val="false"/>
          <w:caps w:val="false"/>
          <w:smallCaps w:val="false"/>
          <w:color w:val="000000"/>
          <w:spacing w:val="3"/>
          <w:sz w:val="16"/>
        </w:rPr>
        <w:t xml:space="preserve"> </w:t>
      </w:r>
    </w:p>
    <w:tbl>
      <w:tblPr>
        <w:tblW w:w="9665" w:type="dxa"/>
        <w:jc w:val="left"/>
        <w:tblInd w:w="540" w:type="dxa"/>
        <w:tblCellMar>
          <w:top w:w="0" w:type="dxa"/>
          <w:left w:w="0" w:type="dxa"/>
          <w:bottom w:w="0" w:type="dxa"/>
          <w:right w:w="0" w:type="dxa"/>
        </w:tblCellMar>
      </w:tblPr>
      <w:tblGrid>
        <w:gridCol w:w="124"/>
        <w:gridCol w:w="2471"/>
        <w:gridCol w:w="109"/>
        <w:gridCol w:w="109"/>
        <w:gridCol w:w="3841"/>
        <w:gridCol w:w="109"/>
        <w:gridCol w:w="109"/>
        <w:gridCol w:w="2638"/>
        <w:gridCol w:w="155"/>
      </w:tblGrid>
      <w:tr>
        <w:trPr/>
        <w:tc>
          <w:tcPr>
            <w:tcW w:w="124" w:type="dxa"/>
            <w:tcBorders/>
            <w:shd w:fill="auto" w:val="clear"/>
            <w:vAlign w:val="center"/>
          </w:tcPr>
          <w:p>
            <w:pPr>
              <w:pStyle w:val="TableContents"/>
              <w:spacing w:before="0" w:after="283"/>
              <w:rPr/>
            </w:pPr>
            <w:r>
              <w:rPr/>
              <w:t>​</w:t>
            </w:r>
          </w:p>
        </w:tc>
        <w:tc>
          <w:tcPr>
            <w:tcW w:w="2471" w:type="dxa"/>
            <w:tcBorders/>
            <w:shd w:fill="auto" w:val="clear"/>
            <w:vAlign w:val="center"/>
          </w:tcPr>
          <w:p>
            <w:pPr>
              <w:pStyle w:val="TableContents"/>
              <w:spacing w:before="0" w:after="0"/>
              <w:jc w:val="center"/>
              <w:rPr/>
            </w:pPr>
            <w:r>
              <w:rPr>
                <w:spacing w:val="-4"/>
              </w:rPr>
              <w:t xml:space="preserve">Fei Cao, Chief Financial Officer 8/F, </w:t>
            </w:r>
            <w:r>
              <w:rPr/>
              <w:br/>
            </w:r>
            <w:r>
              <w:rPr>
                <w:spacing w:val="-4"/>
              </w:rPr>
              <w:t xml:space="preserve">QIHAO Plaza, No. 8 Xinyuan S. Road, </w:t>
            </w:r>
            <w:r>
              <w:rPr/>
              <w:br/>
            </w:r>
            <w:r>
              <w:rPr>
                <w:spacing w:val="-4"/>
              </w:rPr>
              <w:t xml:space="preserve">Chaoyang District, Beijing </w:t>
            </w:r>
            <w:r>
              <w:rPr/>
              <w:br/>
            </w:r>
            <w:r>
              <w:rPr>
                <w:spacing w:val="-4"/>
              </w:rPr>
              <w:t xml:space="preserve">100027 </w:t>
            </w:r>
            <w:r>
              <w:rPr/>
              <w:br/>
            </w:r>
            <w:r>
              <w:rPr>
                <w:spacing w:val="-4"/>
              </w:rPr>
              <w:t xml:space="preserve">People’s Republic of China </w:t>
            </w:r>
            <w:r>
              <w:rPr/>
              <w:br/>
            </w:r>
            <w:r>
              <w:rPr>
                <w:spacing w:val="-4"/>
              </w:rPr>
              <w:t>+8610-5898-3095</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41" w:type="dxa"/>
            <w:tcBorders/>
            <w:shd w:fill="auto" w:val="clear"/>
            <w:vAlign w:val="center"/>
          </w:tcPr>
          <w:p>
            <w:pPr>
              <w:pStyle w:val="TableContents"/>
              <w:spacing w:before="0" w:after="0"/>
              <w:jc w:val="center"/>
              <w:rPr/>
            </w:pPr>
            <w:r>
              <w:rPr>
                <w:spacing w:val="-4"/>
              </w:rPr>
              <w:t>Z. Julie Gao, Esq.</w:t>
            </w:r>
            <w:r>
              <w:rPr/>
              <w:t xml:space="preserve"> </w:t>
              <w:br/>
            </w:r>
            <w:r>
              <w:rPr>
                <w:spacing w:val="-4"/>
              </w:rPr>
              <w:t>Skadden, Arps, Slate, Meagher &amp; Flom LLP</w:t>
            </w:r>
            <w:r>
              <w:rPr/>
              <w:t xml:space="preserve"> </w:t>
            </w:r>
          </w:p>
          <w:p>
            <w:pPr>
              <w:pStyle w:val="TableContents"/>
              <w:spacing w:before="40" w:after="283"/>
              <w:jc w:val="center"/>
              <w:rPr/>
            </w:pPr>
            <w:r>
              <w:rPr>
                <w:spacing w:val="-4"/>
              </w:rPr>
              <w:t>c/o 42/F, Edinburgh Tower, The Landmark 15 Queen’s Road Central</w:t>
            </w:r>
            <w:r>
              <w:rPr/>
              <w:t xml:space="preserve"> </w:t>
              <w:br/>
            </w:r>
            <w:r>
              <w:rPr>
                <w:spacing w:val="-4"/>
              </w:rPr>
              <w:t>Hong Kong</w:t>
            </w:r>
            <w:r>
              <w:rPr/>
              <w:t xml:space="preserve"> </w:t>
              <w:br/>
            </w:r>
            <w:r>
              <w:rPr>
                <w:spacing w:val="-4"/>
              </w:rPr>
              <w:t>+852 3740-4700</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38" w:type="dxa"/>
            <w:tcBorders/>
            <w:shd w:fill="auto" w:val="clear"/>
            <w:vAlign w:val="center"/>
          </w:tcPr>
          <w:p>
            <w:pPr>
              <w:pStyle w:val="TableContents"/>
              <w:spacing w:before="0" w:after="0"/>
              <w:jc w:val="center"/>
              <w:rPr/>
            </w:pPr>
            <w:r>
              <w:rPr>
                <w:spacing w:val="-4"/>
              </w:rPr>
              <w:t>Yuting Wu, Esq.</w:t>
            </w:r>
            <w:r>
              <w:rPr/>
              <w:t xml:space="preserve"> </w:t>
            </w:r>
          </w:p>
          <w:p>
            <w:pPr>
              <w:pStyle w:val="TableContents"/>
              <w:spacing w:before="40" w:after="283"/>
              <w:jc w:val="center"/>
              <w:rPr/>
            </w:pPr>
            <w:r>
              <w:rPr>
                <w:spacing w:val="-4"/>
              </w:rPr>
              <w:t>Skadden, Arps, Slate, Meagher &amp; Flom LLP</w:t>
            </w:r>
            <w:r>
              <w:rPr/>
              <w:t xml:space="preserve"> </w:t>
              <w:br/>
            </w:r>
            <w:r>
              <w:rPr>
                <w:spacing w:val="-4"/>
              </w:rPr>
              <w:t xml:space="preserve">46/F, Tower 2, Jing An Kerry Center </w:t>
            </w:r>
            <w:r>
              <w:rPr/>
              <w:br/>
            </w:r>
            <w:r>
              <w:rPr>
                <w:spacing w:val="-4"/>
              </w:rPr>
              <w:t>1539 Nanjing West Road, Shanghai</w:t>
            </w:r>
            <w:r>
              <w:rPr/>
              <w:t xml:space="preserve"> </w:t>
              <w:br/>
            </w:r>
            <w:r>
              <w:rPr>
                <w:spacing w:val="-4"/>
              </w:rPr>
              <w:t>People’s Republic of China</w:t>
            </w:r>
            <w:r>
              <w:rPr/>
              <w:t xml:space="preserve"> </w:t>
              <w:br/>
            </w:r>
            <w:r>
              <w:rPr>
                <w:spacing w:val="-4"/>
              </w:rPr>
              <w:t>+86 (21) 6193-8200</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60" w:before="74" w:after="283"/>
        <w:ind w:left="940" w:right="0" w:hanging="0"/>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Approximate date of commencement of proposed sale to the public: From time to time after the effective date of this registration statement</w:t>
      </w:r>
      <w:r>
        <w:rPr>
          <w:rFonts w:ascii="Times New Roman;Times;serif" w:hAnsi="Times New Roman;Times;serif"/>
          <w:b/>
          <w:i w:val="false"/>
          <w:caps w:val="false"/>
          <w:smallCaps w:val="false"/>
          <w:color w:val="000000"/>
          <w:spacing w:val="3"/>
          <w:sz w:val="16"/>
        </w:rPr>
        <w:t xml:space="preserve"> </w:t>
      </w:r>
    </w:p>
    <w:p>
      <w:pPr>
        <w:pStyle w:val="TextBody"/>
        <w:spacing w:lineRule="atLeast" w:line="160" w:before="30" w:after="283"/>
        <w:ind w:left="940" w:right="0" w:hanging="0"/>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only securities being registered on this Form are being offered pursuant to dividend or interest reinvestment plans, please check the following box.☐ </w:t>
      </w:r>
    </w:p>
    <w:p>
      <w:pPr>
        <w:pStyle w:val="TextBody"/>
        <w:spacing w:lineRule="atLeast" w:line="160" w:before="30" w:after="283"/>
        <w:ind w:left="540" w:right="0" w:firstLine="400"/>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any of the securities being registered on this Form are to be offered on a delayed or continuous basis pursuant to Rule 415 under the Securities Act of 1933, check the following box. ☒ </w:t>
      </w:r>
    </w:p>
    <w:p>
      <w:pPr>
        <w:pStyle w:val="TextBody"/>
        <w:spacing w:lineRule="atLeast" w:line="160" w:before="30" w:after="283"/>
        <w:ind w:left="540" w:right="0" w:firstLine="400"/>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lineRule="atLeast" w:line="160" w:before="30" w:after="283"/>
        <w:ind w:left="540" w:right="0" w:firstLine="400"/>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lineRule="atLeast" w:line="160" w:before="30" w:after="283"/>
        <w:ind w:left="540" w:right="0" w:firstLine="400"/>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this Form is a registration statement pursuant to General Instruction I.C. or a post-effective amendment thereto that shall become effective upon filing with the Commission pursuant to Rule 462(e) under the Securities Act, check the following box. ☒ </w:t>
      </w:r>
    </w:p>
    <w:p>
      <w:pPr>
        <w:pStyle w:val="TextBody"/>
        <w:spacing w:lineRule="atLeast" w:line="160" w:before="30" w:after="283"/>
        <w:ind w:left="540" w:right="0" w:firstLine="400"/>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 </w:t>
      </w:r>
    </w:p>
    <w:p>
      <w:pPr>
        <w:pStyle w:val="TextBody"/>
        <w:spacing w:lineRule="atLeast" w:line="160" w:before="30" w:after="283"/>
        <w:ind w:left="940" w:right="0" w:hanging="0"/>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Indicate by check mark whether the registrant is an emerging growth company as defined in Rule 405 of the Securities Act of 1933. </w:t>
      </w:r>
    </w:p>
    <w:p>
      <w:pPr>
        <w:pStyle w:val="TextBody"/>
        <w:spacing w:lineRule="atLeast" w:line="160" w:before="30" w:after="283"/>
        <w:ind w:left="940" w:right="0" w:hanging="0"/>
        <w:jc w:val="righ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Emerging growth company ☐</w:t>
      </w:r>
      <w:r>
        <w:rPr>
          <w:rFonts w:ascii="Times New Roman;Times;serif" w:hAnsi="Times New Roman;Times;serif"/>
          <w:b w:val="false"/>
          <w:i w:val="false"/>
          <w:caps w:val="false"/>
          <w:smallCaps w:val="false"/>
          <w:color w:val="000000"/>
          <w:sz w:val="16"/>
        </w:rPr>
        <w:t>​</w:t>
      </w:r>
    </w:p>
    <w:p>
      <w:pPr>
        <w:pStyle w:val="TextBody"/>
        <w:spacing w:lineRule="atLeast" w:line="160" w:before="30" w:after="283"/>
        <w:ind w:left="540" w:right="0" w:firstLine="400"/>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spacing w:lineRule="atLeast" w:line="160" w:before="30" w:after="283"/>
        <w:ind w:left="540" w:right="0" w:firstLine="400"/>
        <w:rPr>
          <w:caps w:val="false"/>
          <w:smallCaps w:val="false"/>
          <w:color w:val="000000"/>
          <w:spacing w:val="3"/>
        </w:rPr>
      </w:pPr>
      <w:r>
        <w:rPr>
          <w:caps w:val="false"/>
          <w:smallCaps w:val="false"/>
          <w:color w:val="000000"/>
          <w:spacing w:val="3"/>
        </w:rPr>
        <w:t xml:space="preserve">† </w:t>
      </w:r>
      <w:r>
        <w:rPr>
          <w:rFonts w:ascii="Times New Roman;Times;serif" w:hAnsi="Times New Roman;Times;serif"/>
          <w:b w:val="false"/>
          <w:i w:val="false"/>
          <w:caps w:val="false"/>
          <w:smallCaps w:val="false"/>
          <w:color w:val="000000"/>
          <w:spacing w:val="3"/>
          <w:sz w:val="16"/>
        </w:rPr>
        <w:t xml:space="preserve">The term “new or revised financial accounting standard” refers to any update issued by the Financial Accounting Standards Board to its Accounting Standards Codification after April 5, 2012. </w:t>
      </w:r>
    </w:p>
    <w:p>
      <w:pPr>
        <w:pStyle w:val="TextBody"/>
        <w:spacing w:lineRule="atLeast" w:line="180" w:before="1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CALCULATION OF REGISTRATION FEE</w:t>
      </w:r>
      <w:r>
        <w:rPr>
          <w:rFonts w:ascii="Times New Roman;Times;serif" w:hAnsi="Times New Roman;Times;serif"/>
          <w:b/>
          <w:i w:val="false"/>
          <w:caps w:val="false"/>
          <w:smallCaps w:val="false"/>
          <w:color w:val="000000"/>
          <w:spacing w:val="3"/>
          <w:sz w:val="16"/>
        </w:rPr>
        <w:t xml:space="preserve"> </w:t>
      </w:r>
    </w:p>
    <w:tbl>
      <w:tblPr>
        <w:tblW w:w="9665" w:type="dxa"/>
        <w:jc w:val="left"/>
        <w:tblInd w:w="540" w:type="dxa"/>
        <w:tblCellMar>
          <w:top w:w="0" w:type="dxa"/>
          <w:left w:w="0" w:type="dxa"/>
          <w:bottom w:w="28" w:type="dxa"/>
          <w:right w:w="0" w:type="dxa"/>
        </w:tblCellMar>
      </w:tblPr>
      <w:tblGrid>
        <w:gridCol w:w="2877"/>
        <w:gridCol w:w="109"/>
        <w:gridCol w:w="109"/>
        <w:gridCol w:w="109"/>
        <w:gridCol w:w="191"/>
        <w:gridCol w:w="191"/>
        <w:gridCol w:w="609"/>
        <w:gridCol w:w="194"/>
        <w:gridCol w:w="109"/>
        <w:gridCol w:w="109"/>
        <w:gridCol w:w="109"/>
        <w:gridCol w:w="227"/>
        <w:gridCol w:w="227"/>
        <w:gridCol w:w="724"/>
        <w:gridCol w:w="229"/>
        <w:gridCol w:w="109"/>
        <w:gridCol w:w="109"/>
        <w:gridCol w:w="109"/>
        <w:gridCol w:w="227"/>
        <w:gridCol w:w="227"/>
        <w:gridCol w:w="724"/>
        <w:gridCol w:w="229"/>
        <w:gridCol w:w="109"/>
        <w:gridCol w:w="109"/>
        <w:gridCol w:w="109"/>
        <w:gridCol w:w="212"/>
        <w:gridCol w:w="212"/>
        <w:gridCol w:w="678"/>
        <w:gridCol w:w="216"/>
        <w:gridCol w:w="163"/>
      </w:tblGrid>
      <w:tr>
        <w:trPr/>
        <w:tc>
          <w:tcPr>
            <w:tcW w:w="9502" w:type="dxa"/>
            <w:gridSpan w:val="29"/>
            <w:tcBorders>
              <w:bottom w:val="double" w:sz="8" w:space="0" w:color="000000"/>
            </w:tcBorders>
            <w:shd w:fill="auto" w:val="clear"/>
            <w:vAlign w:val="center"/>
          </w:tcPr>
          <w:p>
            <w:pPr>
              <w:pStyle w:val="TableContents"/>
              <w:spacing w:before="0" w:after="283"/>
              <w:rPr/>
            </w:pPr>
            <w:r>
              <w:rPr/>
              <w:t>​</w:t>
            </w:r>
          </w:p>
        </w:tc>
        <w:tc>
          <w:tcPr>
            <w:tcW w:w="163" w:type="dxa"/>
            <w:tcBorders>
              <w:bottom w:val="double" w:sz="8" w:space="0" w:color="000000"/>
            </w:tcBorders>
            <w:shd w:fill="auto" w:val="clear"/>
            <w:vAlign w:val="center"/>
          </w:tcPr>
          <w:p>
            <w:pPr>
              <w:pStyle w:val="TableContents"/>
              <w:spacing w:before="0" w:after="283"/>
              <w:rPr/>
            </w:pPr>
            <w:r>
              <w:rPr/>
              <w:t>​</w:t>
            </w:r>
          </w:p>
        </w:tc>
      </w:tr>
      <w:tr>
        <w:trPr/>
        <w:tc>
          <w:tcPr>
            <w:tcW w:w="2877" w:type="dxa"/>
            <w:tcBorders>
              <w:bottom w:val="single" w:sz="2" w:space="0" w:color="000000"/>
            </w:tcBorders>
            <w:shd w:fill="auto" w:val="clear"/>
            <w:tcMar>
              <w:bottom w:w="43" w:type="dxa"/>
            </w:tcMar>
            <w:vAlign w:val="center"/>
          </w:tcPr>
          <w:p>
            <w:pPr>
              <w:pStyle w:val="TableContents"/>
              <w:spacing w:lineRule="atLeast" w:line="141" w:before="0" w:after="0"/>
              <w:jc w:val="left"/>
              <w:rPr/>
            </w:pPr>
            <w:r>
              <w:rPr>
                <w:spacing w:val="-3"/>
              </w:rPr>
              <w:t>Title of each class of securities to be registered</w:t>
            </w:r>
            <w:r>
              <w:rPr>
                <w:spacing w:val="-2"/>
                <w:sz w:val="10"/>
              </w:rPr>
              <w:t>(1)</w:t>
            </w:r>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185"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Amount to be </w:t>
            </w:r>
            <w:r>
              <w:rPr/>
              <w:br/>
            </w:r>
            <w:r>
              <w:rPr>
                <w:spacing w:val="-3"/>
              </w:rPr>
              <w:t>registered</w:t>
            </w:r>
            <w:r>
              <w:rPr>
                <w:spacing w:val="-2"/>
                <w:sz w:val="10"/>
              </w:rPr>
              <w:t>(2)</w:t>
            </w:r>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407"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Proposed maximum </w:t>
            </w:r>
            <w:r>
              <w:rPr/>
              <w:br/>
            </w:r>
            <w:r>
              <w:rPr>
                <w:spacing w:val="-3"/>
              </w:rPr>
              <w:t xml:space="preserve">aggregate price </w:t>
            </w:r>
            <w:r>
              <w:rPr/>
              <w:br/>
            </w:r>
            <w:r>
              <w:rPr>
                <w:spacing w:val="-3"/>
              </w:rPr>
              <w:t>per unit</w:t>
            </w:r>
            <w:r>
              <w:rPr>
                <w:spacing w:val="-2"/>
                <w:sz w:val="10"/>
              </w:rPr>
              <w:t>(2)</w:t>
            </w:r>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407"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Proposed maximum </w:t>
            </w:r>
            <w:r>
              <w:rPr/>
              <w:br/>
            </w:r>
            <w:r>
              <w:rPr>
                <w:spacing w:val="-3"/>
              </w:rPr>
              <w:t xml:space="preserve">aggregate offering </w:t>
            </w:r>
            <w:r>
              <w:rPr/>
              <w:br/>
            </w:r>
            <w:r>
              <w:rPr>
                <w:spacing w:val="-3"/>
              </w:rPr>
              <w:t>price</w:t>
            </w:r>
            <w:r>
              <w:rPr>
                <w:spacing w:val="-2"/>
                <w:sz w:val="10"/>
              </w:rPr>
              <w:t>(2)</w:t>
            </w:r>
            <w:r>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318"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Amount of </w:t>
            </w:r>
            <w:r>
              <w:rPr/>
              <w:br/>
            </w:r>
            <w:r>
              <w:rPr>
                <w:spacing w:val="-3"/>
              </w:rPr>
              <w:t>registration fee</w:t>
            </w:r>
            <w:r>
              <w:rPr>
                <w:spacing w:val="-2"/>
                <w:sz w:val="10"/>
              </w:rPr>
              <w:t>(2)</w:t>
            </w:r>
            <w:r>
              <w:rPr/>
              <w:t xml:space="preserve"> </w:t>
            </w:r>
          </w:p>
        </w:tc>
        <w:tc>
          <w:tcPr>
            <w:tcW w:w="163" w:type="dxa"/>
            <w:tcBorders>
              <w:bottom w:val="single" w:sz="2" w:space="0" w:color="000000"/>
            </w:tcBorders>
            <w:shd w:fill="auto" w:val="clear"/>
            <w:vAlign w:val="center"/>
          </w:tcPr>
          <w:p>
            <w:pPr>
              <w:pStyle w:val="TableContents"/>
              <w:spacing w:before="0" w:after="283"/>
              <w:rPr/>
            </w:pPr>
            <w:r>
              <w:rPr/>
              <w:t>​</w:t>
            </w:r>
          </w:p>
        </w:tc>
      </w:tr>
      <w:tr>
        <w:trPr/>
        <w:tc>
          <w:tcPr>
            <w:tcW w:w="2877" w:type="dxa"/>
            <w:tcBorders>
              <w:bottom w:val="double" w:sz="8" w:space="0" w:color="000000"/>
            </w:tcBorders>
            <w:shd w:fill="CCEEFF" w:val="clear"/>
            <w:tcMar>
              <w:bottom w:w="43" w:type="dxa"/>
            </w:tcMar>
            <w:vAlign w:val="center"/>
          </w:tcPr>
          <w:p>
            <w:pPr>
              <w:pStyle w:val="TableContents"/>
              <w:spacing w:before="0" w:after="0"/>
              <w:jc w:val="left"/>
              <w:rPr/>
            </w:pPr>
            <w:r>
              <w:rPr>
                <w:spacing w:val="3"/>
              </w:rPr>
              <w:t>Class A ordinary shares, par value US$0.00025 per share</w:t>
            </w:r>
            <w:r>
              <w:rPr>
                <w:spacing w:val="2"/>
                <w:sz w:val="10"/>
              </w:rPr>
              <w:t>(3)</w:t>
            </w:r>
            <w:r>
              <w:rPr/>
              <w:t xml:space="preserve"> </w:t>
            </w:r>
          </w:p>
        </w:tc>
        <w:tc>
          <w:tcPr>
            <w:tcW w:w="109" w:type="dxa"/>
            <w:tcBorders>
              <w:bottom w:val="double" w:sz="8"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rPr/>
            </w:pPr>
            <w:r>
              <w:rPr/>
              <w:t>​</w:t>
            </w:r>
          </w:p>
        </w:tc>
        <w:tc>
          <w:tcPr>
            <w:tcW w:w="191" w:type="dxa"/>
            <w:tcBorders>
              <w:bottom w:val="double" w:sz="8" w:space="0" w:color="000000"/>
            </w:tcBorders>
            <w:shd w:fill="CCEEFF" w:val="clear"/>
            <w:vAlign w:val="center"/>
          </w:tcPr>
          <w:p>
            <w:pPr>
              <w:pStyle w:val="TableContents"/>
              <w:spacing w:before="0" w:after="283"/>
              <w:rPr/>
            </w:pPr>
            <w:r>
              <w:rPr/>
              <w:t>​</w:t>
            </w:r>
          </w:p>
        </w:tc>
        <w:tc>
          <w:tcPr>
            <w:tcW w:w="191"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609"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194" w:type="dxa"/>
            <w:tcBorders>
              <w:bottom w:val="double" w:sz="8" w:space="0" w:color="000000"/>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rPr/>
            </w:pPr>
            <w:r>
              <w:rPr/>
              <w:t>​</w:t>
            </w:r>
          </w:p>
        </w:tc>
        <w:tc>
          <w:tcPr>
            <w:tcW w:w="227" w:type="dxa"/>
            <w:tcBorders>
              <w:bottom w:val="double" w:sz="8" w:space="0" w:color="000000"/>
            </w:tcBorders>
            <w:shd w:fill="CCEEFF" w:val="clear"/>
            <w:vAlign w:val="center"/>
          </w:tcPr>
          <w:p>
            <w:pPr>
              <w:pStyle w:val="TableContents"/>
              <w:spacing w:before="0" w:after="283"/>
              <w:rPr/>
            </w:pPr>
            <w:r>
              <w:rPr/>
              <w:t>​</w:t>
            </w:r>
          </w:p>
        </w:tc>
        <w:tc>
          <w:tcPr>
            <w:tcW w:w="227"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724"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229" w:type="dxa"/>
            <w:tcBorders>
              <w:bottom w:val="double" w:sz="8" w:space="0" w:color="000000"/>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rPr/>
            </w:pPr>
            <w:r>
              <w:rPr/>
              <w:t>​</w:t>
            </w:r>
          </w:p>
        </w:tc>
        <w:tc>
          <w:tcPr>
            <w:tcW w:w="227" w:type="dxa"/>
            <w:tcBorders>
              <w:bottom w:val="double" w:sz="8" w:space="0" w:color="000000"/>
            </w:tcBorders>
            <w:shd w:fill="CCEEFF" w:val="clear"/>
            <w:vAlign w:val="center"/>
          </w:tcPr>
          <w:p>
            <w:pPr>
              <w:pStyle w:val="TableContents"/>
              <w:spacing w:before="0" w:after="283"/>
              <w:rPr/>
            </w:pPr>
            <w:r>
              <w:rPr/>
              <w:t>​</w:t>
            </w:r>
          </w:p>
        </w:tc>
        <w:tc>
          <w:tcPr>
            <w:tcW w:w="227"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724"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229" w:type="dxa"/>
            <w:tcBorders>
              <w:bottom w:val="double" w:sz="8" w:space="0" w:color="000000"/>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rPr/>
            </w:pPr>
            <w:r>
              <w:rPr/>
              <w:t>​</w:t>
            </w:r>
          </w:p>
        </w:tc>
        <w:tc>
          <w:tcPr>
            <w:tcW w:w="212" w:type="dxa"/>
            <w:tcBorders>
              <w:bottom w:val="double" w:sz="8" w:space="0" w:color="000000"/>
            </w:tcBorders>
            <w:shd w:fill="CCEEFF" w:val="clear"/>
            <w:vAlign w:val="center"/>
          </w:tcPr>
          <w:p>
            <w:pPr>
              <w:pStyle w:val="TableContents"/>
              <w:spacing w:before="0" w:after="283"/>
              <w:rPr/>
            </w:pPr>
            <w:r>
              <w:rPr/>
              <w:t>​</w:t>
            </w:r>
          </w:p>
        </w:tc>
        <w:tc>
          <w:tcPr>
            <w:tcW w:w="212"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678"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216" w:type="dxa"/>
            <w:tcBorders>
              <w:bottom w:val="double" w:sz="8" w:space="0" w:color="000000"/>
            </w:tcBorders>
            <w:shd w:fill="CCEEFF" w:val="clear"/>
            <w:vAlign w:val="center"/>
          </w:tcPr>
          <w:p>
            <w:pPr>
              <w:pStyle w:val="TableContents"/>
              <w:spacing w:before="0" w:after="283"/>
              <w:rPr/>
            </w:pPr>
            <w:r>
              <w:rPr/>
              <w:t>​</w:t>
            </w:r>
          </w:p>
        </w:tc>
        <w:tc>
          <w:tcPr>
            <w:tcW w:w="163" w:type="dxa"/>
            <w:tcBorders>
              <w:bottom w:val="double" w:sz="8" w:space="0" w:color="000000"/>
            </w:tcBorders>
            <w:shd w:fill="CCEEFF" w:val="clear"/>
            <w:vAlign w:val="center"/>
          </w:tcPr>
          <w:p>
            <w:pPr>
              <w:pStyle w:val="TableContents"/>
              <w:spacing w:before="0" w:after="283"/>
              <w:rPr/>
            </w:pPr>
            <w:r>
              <w:rPr/>
              <w:t>​</w:t>
            </w:r>
          </w:p>
        </w:tc>
      </w:tr>
    </w:tbl>
    <w:p>
      <w:pPr>
        <w:pStyle w:val="TextBody"/>
        <w:spacing w:before="0" w:after="0"/>
        <w:ind w:left="540" w:right="0" w:hanging="0"/>
        <w:rPr>
          <w:caps w:val="false"/>
          <w:smallCaps w:val="false"/>
          <w:color w:val="000000"/>
        </w:rPr>
      </w:pPr>
      <w:r>
        <w:rPr>
          <w:caps w:val="false"/>
          <w:smallCaps w:val="false"/>
          <w:color w:val="000000"/>
        </w:rPr>
        <w:t>​</w:t>
      </w:r>
    </w:p>
    <w:p>
      <w:pPr>
        <w:pStyle w:val="TextBody"/>
        <w:spacing w:lineRule="atLeast" w:line="166" w:before="110" w:after="0"/>
        <w:ind w:left="94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Includes securities initially offered and sold outside the United States that may be resold from time to time in the United States either as part of their distribution or within 40 days after the later of the effective date of this registration statement and the date the securities are first bona fide offered to the public. These securities are not being registered for the purposes of sales outside of the United States. </w:t>
      </w:r>
      <w:r>
        <mc:AlternateContent>
          <mc:Choice Requires="wps">
            <w:drawing>
              <wp:anchor behindDoc="0" distT="6985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largest"/>
                <wp:docPr id="1" name="Frame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66"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spacing w:lineRule="atLeast" w:line="166" w:before="0" w:after="283"/>
                        <w:jc w:val="left"/>
                        <w:rPr/>
                      </w:pPr>
                      <w:r>
                        <w:rPr>
                          <w:spacing w:val="3"/>
                        </w:rPr>
                        <w:t>(1)</w:t>
                      </w:r>
                      <w:r>
                        <w:rPr/>
                        <w:t xml:space="preserve"> </w:t>
                        <w:br/>
                      </w:r>
                    </w:p>
                  </w:txbxContent>
                </v:textbox>
                <w10:wrap type="square" side="right"/>
              </v:rect>
            </w:pict>
          </mc:Fallback>
        </mc:AlternateContent>
      </w:r>
    </w:p>
    <w:p>
      <w:pPr>
        <w:pStyle w:val="TextBody"/>
        <w:spacing w:before="0" w:after="0"/>
        <w:ind w:left="540" w:right="0" w:hanging="0"/>
        <w:rPr>
          <w:caps w:val="false"/>
          <w:smallCaps w:val="false"/>
          <w:color w:val="000000"/>
        </w:rPr>
      </w:pPr>
      <w:r>
        <w:rPr>
          <w:caps w:val="false"/>
          <w:smallCaps w:val="false"/>
          <w:color w:val="000000"/>
        </w:rPr>
        <w:t>​</w:t>
      </w:r>
    </w:p>
    <w:p>
      <w:pPr>
        <w:pStyle w:val="TextBody"/>
        <w:spacing w:lineRule="atLeast" w:line="166" w:before="30" w:after="0"/>
        <w:ind w:left="94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registrant is registering an unspecified number of securities for offer and sale from time to time at indeterminate offering prices. In accordance with Rules 456(b) and 457(r), the registrant is deferring payment of all of the registration fees. </w:t>
      </w:r>
      <w:r>
        <mc:AlternateContent>
          <mc:Choice Requires="wps">
            <w:drawing>
              <wp:anchor behindDoc="0" distT="19050" distB="0" distL="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largest"/>
                <wp:docPr id="2" name="Frame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66" w:before="0" w:after="283"/>
                              <w:jc w:val="left"/>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spacing w:lineRule="atLeast" w:line="166" w:before="0" w:after="283"/>
                        <w:jc w:val="left"/>
                        <w:rPr/>
                      </w:pPr>
                      <w:r>
                        <w:rPr>
                          <w:spacing w:val="3"/>
                        </w:rPr>
                        <w:t>(2)</w:t>
                      </w:r>
                      <w:r>
                        <w:rPr/>
                        <w:t xml:space="preserve"> </w:t>
                        <w:br/>
                      </w:r>
                    </w:p>
                  </w:txbxContent>
                </v:textbox>
                <w10:wrap type="square" side="right"/>
              </v:rect>
            </w:pict>
          </mc:Fallback>
        </mc:AlternateContent>
      </w:r>
    </w:p>
    <w:p>
      <w:pPr>
        <w:pStyle w:val="TextBody"/>
        <w:spacing w:before="0" w:after="0"/>
        <w:ind w:left="540" w:right="0" w:hanging="0"/>
        <w:rPr>
          <w:caps w:val="false"/>
          <w:smallCaps w:val="false"/>
          <w:color w:val="000000"/>
        </w:rPr>
      </w:pPr>
      <w:r>
        <w:rPr>
          <w:caps w:val="false"/>
          <w:smallCaps w:val="false"/>
          <w:color w:val="000000"/>
        </w:rPr>
        <w:t>​</w:t>
      </w:r>
    </w:p>
    <w:p>
      <w:pPr>
        <w:pStyle w:val="TextBody"/>
        <w:spacing w:lineRule="atLeast" w:line="166" w:before="30" w:after="0"/>
        <w:ind w:left="940"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These Class A ordinary shares may be represented by American depositary shares, each of which represents one Class A ordinary share. The ADSs issuable on deposit of the Class A ordinary shares registered hereby have been registered under registration statements on Form F-6 (File No. 333-195072).</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1905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largest"/>
                <wp:docPr id="3" name="Frame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66" w:before="0" w:after="283"/>
                              <w:jc w:val="left"/>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spacing w:lineRule="atLeast" w:line="166" w:before="0" w:after="283"/>
                        <w:jc w:val="left"/>
                        <w:rPr/>
                      </w:pPr>
                      <w:r>
                        <w:rPr>
                          <w:spacing w:val="3"/>
                        </w:rPr>
                        <w:t>(3)</w:t>
                      </w:r>
                      <w:r>
                        <w:rPr/>
                        <w:t xml:space="preserve"> </w:t>
                        <w:br/>
                      </w:r>
                    </w:p>
                  </w:txbxContent>
                </v:textbox>
                <w10:wrap type="square" side="right"/>
              </v:rect>
            </w:pict>
          </mc:Fallback>
        </mc:AlternateContent>
      </w:r>
    </w:p>
    <w:p>
      <w:pPr>
        <w:pStyle w:val="TextBody"/>
        <w:spacing w:before="0" w:after="0"/>
        <w:ind w:left="540" w:right="0" w:hanging="0"/>
        <w:rPr>
          <w:caps w:val="false"/>
          <w:smallCaps w:val="false"/>
          <w:color w:val="000000"/>
        </w:rPr>
      </w:pPr>
      <w:r>
        <w:rPr>
          <w:caps w:val="false"/>
          <w:smallCaps w:val="false"/>
          <w:color w:val="000000"/>
        </w:rPr>
        <w:t>​</w:t>
      </w:r>
    </w:p>
    <w:p>
      <w:pPr>
        <w:pStyle w:val="TextBody"/>
        <w:spacing w:before="53" w:after="283"/>
        <w:ind w:left="5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before="30" w:after="283"/>
        <w:ind w:left="540" w:right="0" w:hanging="0"/>
        <w:rPr>
          <w:caps w:val="false"/>
          <w:smallCaps w:val="false"/>
          <w:color w:val="000000"/>
          <w:bdr w:val="single" w:sz="16" w:space="1" w:color="000000"/>
        </w:rPr>
      </w:pPr>
      <w:r>
        <w:rPr>
          <w:caps w:val="false"/>
          <w:smallCaps w:val="false"/>
          <w:color w:val="000000"/>
          <w:bdr w:val="single" w:sz="16" w:space="1" w:color="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557"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spacing w:before="200" w:after="283"/>
        <w:jc w:val="center"/>
        <w:rPr>
          <w:caps w:val="false"/>
          <w:smallCaps w:val="false"/>
          <w:color w:val="000000"/>
        </w:rPr>
      </w:pPr>
      <w:r>
        <w:rPr>
          <w:caps w:val="false"/>
          <w:smallCaps w:val="false"/>
          <w:color w:val="000000"/>
        </w:rPr>
        <w:drawing>
          <wp:inline distT="0" distB="0" distL="0" distR="0">
            <wp:extent cx="1257300" cy="400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57300" cy="400050"/>
                    </a:xfrm>
                    <a:prstGeom prst="rect">
                      <a:avLst/>
                    </a:prstGeom>
                  </pic:spPr>
                </pic:pic>
              </a:graphicData>
            </a:graphic>
          </wp:inline>
        </w:drawing>
      </w:r>
      <w:r>
        <w:rPr>
          <w:caps w:val="false"/>
          <w:smallCaps w:val="false"/>
          <w:color w:val="000000"/>
        </w:rPr>
        <w:t xml:space="preserve"> </w:t>
      </w:r>
    </w:p>
    <w:p>
      <w:pPr>
        <w:pStyle w:val="TextBody"/>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WEIBO CORPORATION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A Ordinary Shares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in one or more offerings offer and sell our Class A ordinary shares, including Class A ordinary shares represented by American depositary shares, or ADSs.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from time to time, the selling shareholders to be named in a prospectus supplement may offer and sell our Class A ordinary shares or ADSs held by them. The selling shareholders (if any) may sell our Class A ordinary shares or ADSs through public or private transactions at prevailing market prices or at privately negotiated prices. We will not receive any proceeds from the sale of ordinary shares by selling shareholders.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the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 </w:t>
      </w:r>
    </w:p>
    <w:p>
      <w:pPr>
        <w:pStyle w:val="TextBody"/>
        <w:spacing w:lineRule="atLeast" w:line="240" w:before="160" w:after="283"/>
        <w:ind w:left="1393" w:right="0" w:firstLine="400"/>
        <w:rPr/>
      </w:pPr>
      <w:r>
        <w:rPr>
          <w:rFonts w:ascii="Times New Roman;Times;serif" w:hAnsi="Times New Roman;Times;serif"/>
          <w:b w:val="false"/>
          <w:i w:val="false"/>
          <w:caps w:val="false"/>
          <w:smallCaps w:val="false"/>
          <w:color w:val="000000"/>
          <w:spacing w:val="4"/>
          <w:sz w:val="20"/>
        </w:rPr>
        <w:t xml:space="preserve">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w:t>
      </w:r>
      <w:hyperlink w:anchor="tPOD">
        <w:r>
          <w:rPr>
            <w:rStyle w:val="InternetLink"/>
          </w:rPr>
          <w:t>36</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ADSs are listed on the Nasdaq Global Select Market under the symbol “WB.” On November 24, 2021, the last reported sale price of the ADSs on the Nasdaq Global Select Market was US$43.03 per ADS. </w:t>
      </w:r>
    </w:p>
    <w:p>
      <w:pPr>
        <w:pStyle w:val="TextBody"/>
        <w:spacing w:lineRule="atLeast" w:line="240" w:before="160" w:after="283"/>
        <w:ind w:left="1393" w:right="0" w:firstLine="400"/>
        <w:rPr/>
      </w:pPr>
      <w:r>
        <w:rPr>
          <w:rFonts w:ascii="Times New Roman;Times;serif" w:hAnsi="Times New Roman;Times;serif"/>
          <w:b/>
          <w:i w:val="false"/>
          <w:caps w:val="false"/>
          <w:smallCaps w:val="false"/>
          <w:color w:val="000000"/>
          <w:spacing w:val="-4"/>
          <w:sz w:val="20"/>
        </w:rPr>
        <w:t>Investing in our securities involves a high degree of risk. You should carefully consider the risks described under “Risk Factors” starting on page</w:t>
      </w:r>
      <w:r>
        <w:rPr>
          <w:rFonts w:ascii="Times New Roman;Times;serif" w:hAnsi="Times New Roman;Times;serif"/>
          <w:b/>
          <w:i w:val="false"/>
          <w:caps w:val="false"/>
          <w:smallCaps w:val="false"/>
          <w:color w:val="000000"/>
          <w:spacing w:val="4"/>
          <w:sz w:val="20"/>
        </w:rPr>
        <w:t xml:space="preserve"> </w:t>
      </w:r>
      <w:hyperlink w:anchor="tRIFA">
        <w:r>
          <w:rPr>
            <w:rStyle w:val="InternetLink"/>
          </w:rPr>
          <w:t>5</w:t>
        </w:r>
      </w:hyperlink>
      <w:r>
        <w:rPr>
          <w:rFonts w:ascii="Times New Roman;Times;serif" w:hAnsi="Times New Roman;Times;serif"/>
          <w:b/>
          <w:i w:val="false"/>
          <w:caps w:val="false"/>
          <w:smallCaps w:val="false"/>
          <w:color w:val="000000"/>
          <w:spacing w:val="-4"/>
          <w:sz w:val="20"/>
        </w:rPr>
        <w:t xml:space="preserve"> of this prospectus, included in any accompanying prospectus supplement or in the documents incorporated by reference into this prospectus before you invest in our securities.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may not be used to offer or sell any securities unless accompanied by a prospectus supplement.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securities to or through one or more agents, underwriters, dealers or other third parties or directly to one or more purchasers on a continuous or delayed basis. The names of any underwriters will be stated in the applicable prospectus supplement.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United States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November 26, 2021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8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025" w:type="dxa"/>
        <w:jc w:val="left"/>
        <w:tblInd w:w="1393" w:type="dxa"/>
        <w:tblCellMar>
          <w:top w:w="0" w:type="dxa"/>
          <w:left w:w="0" w:type="dxa"/>
          <w:bottom w:w="0" w:type="dxa"/>
          <w:right w:w="0" w:type="dxa"/>
        </w:tblCellMar>
      </w:tblPr>
      <w:tblGrid>
        <w:gridCol w:w="124"/>
        <w:gridCol w:w="6792"/>
        <w:gridCol w:w="109"/>
        <w:gridCol w:w="109"/>
        <w:gridCol w:w="109"/>
        <w:gridCol w:w="109"/>
        <w:gridCol w:w="410"/>
        <w:gridCol w:w="109"/>
        <w:gridCol w:w="154"/>
      </w:tblGrid>
      <w:tr>
        <w:trPr/>
        <w:tc>
          <w:tcPr>
            <w:tcW w:w="124" w:type="dxa"/>
            <w:tcBorders/>
            <w:shd w:fill="CCEEFF" w:val="clear"/>
            <w:vAlign w:val="center"/>
          </w:tcPr>
          <w:p>
            <w:pPr>
              <w:pStyle w:val="TableContents"/>
              <w:spacing w:before="0" w:after="283"/>
              <w:rPr/>
            </w:pPr>
            <w:r>
              <w:rPr/>
              <w:t>​</w:t>
            </w:r>
          </w:p>
        </w:tc>
        <w:tc>
          <w:tcPr>
            <w:tcW w:w="6792" w:type="dxa"/>
            <w:tcBorders/>
            <w:shd w:fill="CCEEFF" w:val="clear"/>
            <w:vAlign w:val="center"/>
          </w:tcPr>
          <w:p>
            <w:pPr>
              <w:pStyle w:val="TableContents"/>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ATP">
              <w:r>
                <w:rPr>
                  <w:rStyle w:val="InternetLink"/>
                  <w:spacing w:val="4"/>
                </w:rPr>
                <w:t>1</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792" w:type="dxa"/>
            <w:tcBorders/>
            <w:shd w:fill="auto" w:val="clear"/>
            <w:vAlign w:val="center"/>
          </w:tcPr>
          <w:p>
            <w:pPr>
              <w:pStyle w:val="TableContents"/>
              <w:spacing w:before="0" w:after="0"/>
              <w:jc w:val="left"/>
              <w:rPr/>
            </w:pPr>
            <w:hyperlink w:anchor="tFOST">
              <w:r>
                <w:rPr>
                  <w:rStyle w:val="InternetLink"/>
                  <w:spacing w:val="4"/>
                </w:rPr>
                <w:t xml:space="preserve">FORWARD-LOOKING STATEMENTS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FOST">
              <w:r>
                <w:rPr>
                  <w:rStyle w:val="InternetLink"/>
                  <w:spacing w:val="4"/>
                </w:rPr>
                <w:t>2</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792" w:type="dxa"/>
            <w:tcBorders/>
            <w:shd w:fill="CCEEFF" w:val="clear"/>
            <w:vAlign w:val="center"/>
          </w:tcPr>
          <w:p>
            <w:pPr>
              <w:pStyle w:val="TableContents"/>
              <w:spacing w:before="0" w:after="0"/>
              <w:jc w:val="left"/>
              <w:rPr/>
            </w:pPr>
            <w:hyperlink w:anchor="tCOIN">
              <w:r>
                <w:rPr>
                  <w:rStyle w:val="InternetLink"/>
                  <w:spacing w:val="4"/>
                </w:rPr>
                <w:t xml:space="preserve">CORPORATE INFORMATION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COIN">
              <w:r>
                <w:rPr>
                  <w:rStyle w:val="InternetLink"/>
                  <w:spacing w:val="4"/>
                </w:rPr>
                <w:t>4</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792" w:type="dxa"/>
            <w:tcBorders/>
            <w:shd w:fill="auto" w:val="clear"/>
            <w:vAlign w:val="center"/>
          </w:tcPr>
          <w:p>
            <w:pPr>
              <w:pStyle w:val="TableContents"/>
              <w:spacing w:before="0" w:after="0"/>
              <w:jc w:val="left"/>
              <w:rPr/>
            </w:pPr>
            <w:hyperlink w:anchor="tRIFA">
              <w:r>
                <w:rPr>
                  <w:rStyle w:val="InternetLink"/>
                  <w:spacing w:val="4"/>
                </w:rPr>
                <w:t xml:space="preserve">RISK FACTORS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RIFA">
              <w:r>
                <w:rPr>
                  <w:rStyle w:val="InternetLink"/>
                  <w:spacing w:val="4"/>
                </w:rPr>
                <w:t>5</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792" w:type="dxa"/>
            <w:tcBorders/>
            <w:shd w:fill="CCEEFF" w:val="clear"/>
            <w:vAlign w:val="center"/>
          </w:tcPr>
          <w:p>
            <w:pPr>
              <w:pStyle w:val="TableContents"/>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UOP">
              <w:r>
                <w:rPr>
                  <w:rStyle w:val="InternetLink"/>
                  <w:spacing w:val="4"/>
                </w:rPr>
                <w:t>6</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792" w:type="dxa"/>
            <w:tcBorders/>
            <w:shd w:fill="auto" w:val="clear"/>
            <w:vAlign w:val="center"/>
          </w:tcPr>
          <w:p>
            <w:pPr>
              <w:pStyle w:val="TableContents"/>
              <w:spacing w:before="0" w:after="0"/>
              <w:jc w:val="left"/>
              <w:rPr/>
            </w:pPr>
            <w:hyperlink w:anchor="tDOSC">
              <w:r>
                <w:rPr>
                  <w:rStyle w:val="InternetLink"/>
                  <w:spacing w:val="4"/>
                </w:rPr>
                <w:t xml:space="preserve">DESCRIPTION OF SHARE CAPITAL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DOSC">
              <w:r>
                <w:rPr>
                  <w:rStyle w:val="InternetLink"/>
                  <w:spacing w:val="4"/>
                </w:rPr>
                <w:t>7</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792" w:type="dxa"/>
            <w:tcBorders/>
            <w:shd w:fill="CCEEFF" w:val="clear"/>
            <w:vAlign w:val="center"/>
          </w:tcPr>
          <w:p>
            <w:pPr>
              <w:pStyle w:val="TableContents"/>
              <w:spacing w:before="0" w:after="0"/>
              <w:jc w:val="left"/>
              <w:rPr/>
            </w:pPr>
            <w:hyperlink w:anchor="tDOAD">
              <w:r>
                <w:rPr>
                  <w:rStyle w:val="InternetLink"/>
                  <w:spacing w:val="4"/>
                </w:rPr>
                <w:t xml:space="preserve">DESCRIPTION OF AMERICAN DEPOSITARY SHARES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DOAD">
              <w:r>
                <w:rPr>
                  <w:rStyle w:val="InternetLink"/>
                  <w:spacing w:val="4"/>
                </w:rPr>
                <w:t>18</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792" w:type="dxa"/>
            <w:tcBorders/>
            <w:shd w:fill="auto" w:val="clear"/>
            <w:vAlign w:val="center"/>
          </w:tcPr>
          <w:p>
            <w:pPr>
              <w:pStyle w:val="TableContents"/>
              <w:spacing w:before="0" w:after="0"/>
              <w:jc w:val="left"/>
              <w:rPr/>
            </w:pPr>
            <w:hyperlink w:anchor="tEOCL">
              <w:r>
                <w:rPr>
                  <w:rStyle w:val="InternetLink"/>
                  <w:spacing w:val="4"/>
                </w:rPr>
                <w:t xml:space="preserve">ENFORCEABILITY OF CIVIL LIABILITIES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EOCL">
              <w:r>
                <w:rPr>
                  <w:rStyle w:val="InternetLink"/>
                  <w:spacing w:val="4"/>
                </w:rPr>
                <w:t>32</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792" w:type="dxa"/>
            <w:tcBorders/>
            <w:shd w:fill="CCEEFF" w:val="clear"/>
            <w:vAlign w:val="center"/>
          </w:tcPr>
          <w:p>
            <w:pPr>
              <w:pStyle w:val="TableContents"/>
              <w:spacing w:before="0" w:after="0"/>
              <w:jc w:val="left"/>
              <w:rPr/>
            </w:pPr>
            <w:hyperlink w:anchor="tTAX">
              <w:r>
                <w:rPr>
                  <w:rStyle w:val="InternetLink"/>
                  <w:spacing w:val="4"/>
                </w:rPr>
                <w:t xml:space="preserve">TAXATION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TAX">
              <w:r>
                <w:rPr>
                  <w:rStyle w:val="InternetLink"/>
                  <w:spacing w:val="4"/>
                </w:rPr>
                <w:t>34</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792" w:type="dxa"/>
            <w:tcBorders/>
            <w:shd w:fill="auto" w:val="clear"/>
            <w:vAlign w:val="center"/>
          </w:tcPr>
          <w:p>
            <w:pPr>
              <w:pStyle w:val="TableContents"/>
              <w:spacing w:before="0" w:after="0"/>
              <w:jc w:val="left"/>
              <w:rPr/>
            </w:pPr>
            <w:hyperlink w:anchor="tSESH">
              <w:r>
                <w:rPr>
                  <w:rStyle w:val="InternetLink"/>
                  <w:spacing w:val="4"/>
                </w:rPr>
                <w:t xml:space="preserve">SELLING SHAREHOLDERS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SESH">
              <w:r>
                <w:rPr>
                  <w:rStyle w:val="InternetLink"/>
                  <w:spacing w:val="4"/>
                </w:rPr>
                <w:t>35</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792" w:type="dxa"/>
            <w:tcBorders/>
            <w:shd w:fill="CCEEFF" w:val="clear"/>
            <w:vAlign w:val="center"/>
          </w:tcPr>
          <w:p>
            <w:pPr>
              <w:pStyle w:val="TableContents"/>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POD">
              <w:r>
                <w:rPr>
                  <w:rStyle w:val="InternetLink"/>
                  <w:spacing w:val="4"/>
                </w:rPr>
                <w:t>36</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792" w:type="dxa"/>
            <w:tcBorders/>
            <w:shd w:fill="auto" w:val="clear"/>
            <w:vAlign w:val="center"/>
          </w:tcPr>
          <w:p>
            <w:pPr>
              <w:pStyle w:val="TableContents"/>
              <w:spacing w:before="0" w:after="0"/>
              <w:jc w:val="left"/>
              <w:rPr/>
            </w:pPr>
            <w:hyperlink w:anchor="tLEMA">
              <w:r>
                <w:rPr>
                  <w:rStyle w:val="InternetLink"/>
                  <w:spacing w:val="4"/>
                </w:rPr>
                <w:t xml:space="preserve">LEGAL MATTERS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LEMA">
              <w:r>
                <w:rPr>
                  <w:rStyle w:val="InternetLink"/>
                  <w:spacing w:val="4"/>
                </w:rPr>
                <w:t>38</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792" w:type="dxa"/>
            <w:tcBorders/>
            <w:shd w:fill="CCEEFF" w:val="clear"/>
            <w:vAlign w:val="center"/>
          </w:tcPr>
          <w:p>
            <w:pPr>
              <w:pStyle w:val="TableContents"/>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EXP">
              <w:r>
                <w:rPr>
                  <w:rStyle w:val="InternetLink"/>
                  <w:spacing w:val="4"/>
                </w:rPr>
                <w:t>39</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792" w:type="dxa"/>
            <w:tcBorders/>
            <w:shd w:fill="auto" w:val="clear"/>
            <w:vAlign w:val="center"/>
          </w:tcPr>
          <w:p>
            <w:pPr>
              <w:pStyle w:val="TableContents"/>
              <w:spacing w:before="0" w:after="0"/>
              <w:jc w:val="left"/>
              <w:rPr/>
            </w:pPr>
            <w:hyperlink w:anchor="tWYCF">
              <w:r>
                <w:rPr>
                  <w:rStyle w:val="InternetLink"/>
                  <w:spacing w:val="4"/>
                </w:rPr>
                <w:t xml:space="preserve">WHERE YOU CAN FIND MORE INFORMATION ABOUT US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10" w:type="dxa"/>
            <w:tcBorders/>
            <w:shd w:fill="auto" w:val="clear"/>
            <w:vAlign w:val="center"/>
          </w:tcPr>
          <w:p>
            <w:pPr>
              <w:pStyle w:val="TableContents"/>
              <w:spacing w:before="0" w:after="283"/>
              <w:jc w:val="right"/>
              <w:rPr/>
            </w:pPr>
            <w:hyperlink w:anchor="tWYCF">
              <w:r>
                <w:rPr>
                  <w:rStyle w:val="InternetLink"/>
                  <w:spacing w:val="4"/>
                </w:rPr>
                <w:t>40</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792" w:type="dxa"/>
            <w:tcBorders/>
            <w:shd w:fill="CCEEFF" w:val="clear"/>
            <w:vAlign w:val="center"/>
          </w:tcPr>
          <w:p>
            <w:pPr>
              <w:pStyle w:val="TableContents"/>
              <w:spacing w:before="0" w:after="0"/>
              <w:jc w:val="left"/>
              <w:rPr/>
            </w:pPr>
            <w:hyperlink w:anchor="tIODB">
              <w:r>
                <w:rPr>
                  <w:rStyle w:val="InternetLink"/>
                  <w:spacing w:val="4"/>
                </w:rPr>
                <w:t xml:space="preserve">INCORPORATION OF DOCUMENTS BY REFERENCE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10" w:type="dxa"/>
            <w:tcBorders/>
            <w:shd w:fill="CCEEFF" w:val="clear"/>
            <w:vAlign w:val="center"/>
          </w:tcPr>
          <w:p>
            <w:pPr>
              <w:pStyle w:val="TableContents"/>
              <w:spacing w:before="0" w:after="283"/>
              <w:jc w:val="right"/>
              <w:rPr/>
            </w:pPr>
            <w:hyperlink w:anchor="tIODB">
              <w:r>
                <w:rPr>
                  <w:rStyle w:val="InternetLink"/>
                  <w:spacing w:val="4"/>
                </w:rPr>
                <w:t>41</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bl>
    <w:p>
      <w:pPr>
        <w:pStyle w:val="TextBody"/>
        <w:spacing w:lineRule="atLeast" w:line="240" w:before="16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or incorporated by reference into this prospectus, in the applicable prospectus supplement or in any free writing prospectus filed by us with the SEC. We have not authorized any other person to provide you with different information. If anyone provides you with different or inconsistent information, you should not rely on it. You should not assume that the information contained or incorporated by reference into this prospectus and any prospectus supplement or in any free writing prospectus is accurate as of any date other than the respective dates thereof. Our business, financial condition, results of operations and prospects may have changed since those dates.</w:t>
      </w:r>
      <w:r>
        <w:rPr>
          <w:rFonts w:ascii="Times New Roman;Times;serif" w:hAnsi="Times New Roman;Times;serif"/>
          <w:b/>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“well-known seasoned issuer” as defined in Rule 405 under the Securities Act of 1933, as amended, or the Securities Act. This prospectus is part of an automatic shelf registration statement that we filed with the Securities and Exchange Commission, or the SEC. By using an automatic shelf registration statement, we or any selling shareholder may, at any time and from time to time, sell the securities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otherwise indicated or unless the context otherwise requires: </w:t>
      </w:r>
    </w:p>
    <w:p>
      <w:pPr>
        <w:pStyle w:val="TextBody"/>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we,” “us,” “our company,” “the Company” or “our” refers to Weibo Corporation, a Cayman Islands company, its subsidiaries, and, in the context of describing its operations and consolidated financial information, include its consolidated variable interest entities (“VIEs”) in China;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largest"/>
                <wp:docPr id="5" name="Frame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Weibo” refers to our social media platform and the products and services that we provide to users, customers and platform partners through that platform;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largest"/>
                <wp:docPr id="6" name="Frame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China” or “PRC” refers to the People’s Republic of China, excluding, for the purpose of this prospectus only, Hong Kong Special Administrative Region, Macau Special Administrative Region, and Taiwan;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largest"/>
                <wp:docPr id="7" name="Frame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shares” or “ordinary shares” refers to our Class A and Class B ordinary shares, par value $0.00025 per share;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largest"/>
                <wp:docPr id="8" name="Frame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ADSs” refers to our American depositary shares. Each ADS represents one Class A ordinary share;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largest"/>
                <wp:docPr id="9" name="Frame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GAAP” refers to generally accepted accounting principles in the United States; and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largest"/>
                <wp:docPr id="10" name="Frame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references to “RMB” or “renminbi” are to the legal currency of China, and all references to “$,” “dollars,” “US$” and “U.S. dollars” are to the legal currency of the United States.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largest"/>
                <wp:docPr id="11" name="Frame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any prospectus supplement to “the accompanying prospectus” are to this prospectus and to “the prospectus” are to this prospectus and the applicable prospectus supplement taken together.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making an offer to sell the securities in any jurisdiction where the offer or sale is not permitted.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FOST"/>
      <w:bookmarkEnd w:id="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by reference in this prospectus may contain forward-looking statements that reflect our current or then-current expectations and views of future events.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identify some of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goals and strategies;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largest"/>
                <wp:docPr id="12" name="Frame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business development, financial conditions and results of operations;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largest"/>
                <wp:docPr id="13" name="Frame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proposed use of proceeds from the sale of equity securities;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largest"/>
                <wp:docPr id="14" name="Frame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and retain users and customers and generate revenue and profit from our customers;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largest"/>
                <wp:docPr id="15" name="Frame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key personnel and attract new talent;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largest"/>
                <wp:docPr id="16" name="Frame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in social media, social networking, online marketing, and other businesses in which we engage;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largest"/>
                <wp:docPr id="17" name="Frame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our annual PFIC evaluations;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largest"/>
                <wp:docPr id="18" name="Frame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ongoing or any future litigation or arbitration, including those relating to intellectual property rights;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largest"/>
                <wp:docPr id="19" name="Frame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growth of social media, internet and mobile users and internet and mobile advertising in China; and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largest"/>
                <wp:docPr id="20" name="Frame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PRC governmental policies relating to media, the internet, internet content providers and online advertising, and the implementation of a corporate structure involving VIEs in China.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largest"/>
                <wp:docPr id="21" name="Frame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included in this prospectus, the documents incorporated by reference herein and any prospectus supplement are subject to risks, uncertainties, and assumptions about our company. Our actual results of operations may differ materially from the forward-looking statements as a result of the risk factors disclosed in the documents incorporated by reference in this prospectus or in any accompanying prospectus supplement.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would like to caution you not to place undue reliance on these forward-looking statements and you should read these statements in conjunction with the risk factors disclosed in the documents incorporated by reference in this prospectus or in any accompanying prospectus supplement for a more complete discussion of the risks of an investment in our securities and other risks outlined in our other filings with the SEC. The forward-looking statements included in this prospectus or incorporated by reference into this prospectus are made only as of the date of this prospectus or the date of the incorporated document, and we do not undertake any obligation to update the forward-looking statements except as required under applicable law.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Weibo is a leading social media platform in China for people to create, discover and distribute content. By providing a simple and inspirational way for people and organizations in China and the global Chinese communities to publicly express themselves in real time, interact with others on a platform with vast scale and stay connected with the world, Weibo has had a profound social impact in China. Launched in 2009, Weibo has been committed to enabling faster, easier, and richer connection among people and has become an integral part of many of Weibo users’ daily lives.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Leveraging the early-mover advantage and the accumulated know-hows and insights in the social media industry, Weibo has amassed a large user base in China and in Chinese communities in more than 190 countries around the world.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Weibo has transformed the way people express themselves and interact with others in the public internet space. Any user can create and post a feed and attach multimedia or long-form content. User relationships on Weibo may be asymmetric, and any user can follow any other user and add comments to a feed while reposting. This simple, asymmetric, and distributed nature of Weibo allows an original feed to become a live viral conversation stream.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Weibo serves a wide range of users including ordinary people, celebrities, key opinion leaders (“KOLs”), and other public figures or influencers, as well as media outlets, businesses, government agencies, charities, and other organizations, making it a microcosm of Chinese society.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Weibo offers comprehensive content formats as a social media platform. Weibo users can create, discover, consume and share various formats of content, including text, photo, video, live streaming, audio and topic, etc. on Weibo platform. By aggregating various media formats, Weibo platform allows content creators to have more diverse choices to create content in their most desirable ways, so that more enriched content could be generated and distributed across the platform. Weibo is also well positioned to capture the market trends in media formats transformation. To capitalize on the mega trend of video, Weibo has launched a series of innovative initiatives to improve its video product offerings and to empower and attract more video content creators to its platform.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support the diverse content offerings, Weibo also has comprehensive coverage of content categories and content creators. The diversified content offerings on Weibo platform cater to the evolving and broad interests of Weibo users and cultivate a more vibrant ecosystem on Weibo platform.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began monetization on our platform in 2012, and have since experienced solid revenue growth and margin expansion. Our revenues increased from US$1,718.5 million in 2018 to US$1,766.9 million in 2019 but slightly decreased to US$1,689.9 million in 2020 mainly due to the negative impact and uncertainties brought forth by the COVID-19 pandemic. Our revenue’s year-on-year growth rate recovered to 10% in the fourth quarter of 2020 and further increased to 42% in the first quarter and 48% in the second quarter of 2021, as the COVID-19 pandemic was gradually contained in China and the advertising demand recovered accordingly.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generate revenues primarily from customers who purchase advertising and marketing services, and, to a lesser extent, from fee-based revenues, such as VIP membership. Revenues generated from advertising and marketing services accounted for 88% of our total revenues in 2020 and 86% of our total revenues in the six months ended June 30, 2021. We had income from operations of US$609.3 million in 2018, US$597.6 million in 2019 and US$506.8 million in 2020. Our income from operations increased from US$164.2 million in the six months ended June 30, 2020 to US$301.8 million for the same period in 2021. Our operating margin, being the ratio of income from operations to total revenues, reached 30.0% in 2020 and 29.2% in the first six months ended June 30, 2021.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information about our company, please see “Item 4. Information on the Company” in our 2020 Form 20-F, which is incorporated in this prospectus by reference, and any accompanying prospectus supplement before investing in any securities that may be offered pursuant to this prospectus.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COIN"/>
      <w:bookmarkEnd w:id="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Corporate Information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8/F, QIHAO Plaza, No. 8 Xinyuan S. Road, Chaoyang District, Beijing 100027, People’s Republic of China. Our telephone number at this address is +86 (10) 5898-3095. Our registered office in the Cayman Islands is located at the offices of Vistra (Cayman) Limited, P.O. Box 31119, Grand Pavilion, Hibiscus Way, 802 West Bay Road, Grand Cayman KY1-1205, Cayman Islands. We have appointed Cogency Global Inc., located at 122 East 42nd Street, 18th Floor, New York, NY 10168, as our agent upon whom process may be served in any action brought against us under the securities laws of the United States in connection with offerings of securities registered by the registration statement of which this prospectus is a part.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SEC maintains an internet site that contains reports, proxy and information statements, and other information regarding issuers that file electronically with the SEC at </w:t>
      </w:r>
      <w:r>
        <w:rPr>
          <w:rFonts w:ascii="Times New Roman;Times;serif" w:hAnsi="Times New Roman;Times;serif"/>
          <w:b w:val="false"/>
          <w:i/>
          <w:caps w:val="false"/>
          <w:smallCaps w:val="false"/>
          <w:color w:val="000000"/>
          <w:spacing w:val="4"/>
          <w:sz w:val="20"/>
          <w:u w:val="single"/>
        </w:rPr>
        <w:t>www.sec.gov</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You can also find information on our website at </w:t>
      </w:r>
      <w:r>
        <w:rPr>
          <w:rFonts w:ascii="Times New Roman;Times;serif" w:hAnsi="Times New Roman;Times;serif"/>
          <w:b w:val="false"/>
          <w:i/>
          <w:caps w:val="false"/>
          <w:smallCaps w:val="false"/>
          <w:color w:val="000000"/>
          <w:spacing w:val="4"/>
          <w:sz w:val="20"/>
          <w:u w:val="single"/>
        </w:rPr>
        <w:t>http://ir.weibo.com</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information contained on our website is not a part of this prospectus.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RIFA"/>
      <w:bookmarkEnd w:id="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see the factors set forth under “Item 3. Key Information D. Risk Factors” in our most recent annual report on Form 20-F, which is incorporated by reference in this prospectus, as updated by our subsequent filings under the Exchange Act, and any accompanying prospectus supplement before investing in any securities that may be offered pursuant to this prospectus.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see “Where You Can Find More Information About Us” and “Incorporation of Certain Documents by Reference” for information on where you can find the documents we have filed with or furnished to the SEC and which are incorporated into this prospectus by reference.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UOP"/>
      <w:bookmarkEnd w:id="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the securities we offer as set forth in the applicable prospectus supplement(s).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allocations of the proceeds we receive from the sale of our securities will be described in the applicable prospectus supplement(s).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SC"/>
      <w:bookmarkEnd w:id="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SHARE CAPITAL</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Cayman Islands exempted company and our affairs are governed by our memorandum and articles of association, as amended and restated from time to time, and the Companies Act (As Revised) of the Cayman Islands, referred to as the “Companies Act” below.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our authorized share capital is US$600,000 divided into (i) 1,800,000,000 Class A ordinary shares of a par value of US$0.00025 each, (ii) 200,000,000 Class B ordinary shares of a par value of US$0.00025 each, and (iii) 400,000,000 shares of a par value of US$0.00025 each of such class or classes (however designated) as our board of directors may determine in accordance with our memorandum and articles of association. As of September 30, 2021, we had 127,312,831 issued and outstanding Class A ordinary shares and 101,778,958 issued and outstanding Class B ordinary shares.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summaries of certain provisions of our memorandum and articles of association in effect, insofar as they relate to the material terms of our ordinary shares.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Certificates representing the ordinary shares are issued in registered form. Our shareholders who are non-residents of the Cayman Islands may freely hold and vote their ordinary shares. Our company will issue only non-negotiable shares, and will not issue bearer or negotiable shares.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Register of Members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Cayman Islands law, we must keep a register of members and there should be entered therein: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and addresses of the members, together with a statement of the shares held by each member, and such statement shall confirm (i) of the amount paid or agreed to be considered as paid, on the shares of each member, (ii) the number and category of shares held by each member, and (iii) whether each relevant category of shares held by a member carries voting rights under the articles of association of the company, and if so, whether such voting rights are conditional;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largest"/>
                <wp:docPr id="22" name="Frame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name of any person was entered on the register as a member; and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largest"/>
                <wp:docPr id="23" name="Frame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any person ceased to be a member.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largest"/>
                <wp:docPr id="24" name="Frame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Upon the completion of our initial public offering, our company’s register of members was updated to record and give effect to the issue of shares by us to the Depositary (or its nominee) as the depositary, and the shareholders recorded in the register of members are deemed to have legal title to the shares set against their name.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our ordinary shares are entitled to such dividends as may be declared by our board of directors or shareholders in general meeting (provided always no dividend may exceed the amount recommended by our directors, and provided further that dividends may be declared and paid only out of funds legally available therefor, namely out of either profit or our share premium account, and provided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that a dividend may not be paid if this would result in our company being unable to pay its debts as they fall due in the ordinary course of business).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Classes of Ordinary Shares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divided into Class A ordinary shares and Class B ordinary shares. Except for conversion rights and voting rights, the Class A ordinary shares and Class B ordinary shares shall carry equal rights and rank pari passu with one another, including but not limited to the rights to dividends and other capital distributions.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Class B ordinary share is convertible into one Class A ordinary share at any time by the holder thereof. In addition, (i) each Class B ordinary share shall automatically and immediately be converted into one Class A ordinary share if at any time SINA Corporation and its Affiliates (as defined in our memorandum and articles of association) in the aggregate hold less than five percent (5%) of the issued Class B ordinary shares in our company, and no Class B ordinary shares shall be issued by our company thereafter, and (ii) upon any sale, transfer, assignment or disposition of Class B ordinary shares by a holder thereof to any person or entity which is not an Affiliate (as defined in our memorandum and articles of association) of such holder, such Class B ordinary shares shall be automatically and immediately converted (by way of being re-designated) into an equal number of Class A ordinary shares. Class A ordinary shares are not convertible into Class B ordinary shares under any circumstances.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ordinary shares have the right to receive notice of, attend, speak and vote at general meetings of our company. Holders of Class A ordinary shares and Class B ordinary shares shall, at all 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three votes on all matters subject to the vote at general meetings of our company. Voting at any meeting of shareholders is by show of hands unless a poll is demanded. A poll may be demanded by the chairman of such meeting or any one shareholder present in person or by proxy.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Maples and Calder (Hong Kong) LLP, our counsel as to Cayman Islands law, has advised that such voting structure is in compliance with current Cayman Islands law as in general terms, a company and its shareholders are free to provide in the articles of association for such rights as they consider appropriate, subject to such rights not being contrary to any provision of the Companies Act and not inconsistent with common law. Maples and Calder (Hong Kong) LLP has confirmed that the inclusion in our memorandum and articles of association of provisions giving weighted voting rights to specific shareholders generally or on specific resolutions is not prohibited by the Companies Act. Further, weighted voting provisions have been held to be valid as a matter of English common law and therefore it is expected that such would be upheld by a Cayman Islands court.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ordinary resolution to be passed by the shareholders requires the affirmative vote of a simple majority of the votes attached to the ordinary shares cast by those shareholders who are present in person or by proxy at a general meeting, while a special resolution requires the affirmative vote of no less than two-thirds of the votes attached to the ordinary shares cast by those shareholders who are present in person or by proxy at a general meeting. Both ordinary resolutions and special resolutions may also be passed by a unanimous written resolution signed by all the shareholders of our company, as permitted by the Companies Act and our memorandum and articles of association. A special resolution will be required for important matters such as a change of name or making changes to our memorandum and articles of association.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of Ordinary Shares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our shareholders may transfer all or any of his or her ordinary shares by an instrument of transfer in the usual or common form or any other form approved by our board of directors.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our board of directors may, in its absolute discretion, decline to register any transfer of any ordinary share which is not fully paid up or on which our company has a lien. Our board of directors may also decline to register any transfer of any ordinary share unless: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lodged with us, accompanied by the certificate for the ordinary shares to which it relates and such other evidence as our board of directors may reasonably require to show the right of the transferor to make the transfer;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largest"/>
                <wp:docPr id="25" name="Frame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in respect of only one class of shares;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largest"/>
                <wp:docPr id="26" name="Frame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properly stamped (in circumstances where stamping is required);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largest"/>
                <wp:docPr id="27" name="Frame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ordinary shares transferred are free of any lien in favor of us; and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largest"/>
                <wp:docPr id="28" name="Frame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transfer to joint holders, the number of joint holders to which the share is to be transferred does not exceed four.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largest"/>
                <wp:docPr id="29" name="Frame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directors refuse to register a transfer they are required, within two months after the date on which the instrument of transfer was lodged, to send to each of the transferor and the transferee notice of such refusal.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winding up of our company, if the assets available for distribution amongst our shareholders shall be more than sufficient to repay the whole of the capital paid up at the commencement of the winding up, the excess will be distributed amongst our shareholders in proportion to the capital paid up at the commencement of the winding up on the shares held by them respectively. If our assets available for distribution are insufficient to repay all of the paid-up capital, such assets will be distributed so that, as nearly as may be, the losses are borne by our shareholders in proportion to the capital paid up, or which ought to have been paid up, at the commencement of the winding up on the shares held by them respectively. We are a “limited liability” company registered under the Companies Act, and under the Companies Act, the liability of our members is limited to the amount, if any, unpaid on the shares respectively held by them. Our memorandum of association contains a declaration that the liability of our members is so limited.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Calls on Ordinary Shares and Forfeiture of Ordinary Shares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from time to time make calls upon shareholders for any amounts unpaid on their ordinary shares. The ordinary shares that have been called upon and remain unpaid are subject to forfeiture.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Repurchase and Surrender of Ordinary Shares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Variations of Rights of Shares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our share capital is divided into different classes of shares, all or any of the rights attached to any class of shares may be varied or abrogated with the consent in writing of the holders of not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two-thirds in nominal value of the issued shares of that class or with the sanction of a special resolution passed at a separate meeting of the holders of shares of that class. The rights conferred upon the holders of the shares of any class issued with preferred or other rights will not, unless otherwise expressly provided in the rights attaching to or the terms of issue of the shares of that class, be deemed to be varied or abrogated by the creation or issue of further shares ranking pari passu with such existing class of shares.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Meetings of Shareholders and Shareholder Proposals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Cayman Islands exempted company, we are not obliged by the Companies Act to call shareholders’ annual general meetings. Our memorandum and articles of association provide that we shall in each year hold a general meeting as our annual general meeting in which case we shall specify the meeting as such in the notices calling it, and the annual general meeting shall be held at such time and place as may be determined by our directors.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annual general meetings and any other general meetings of our shareholders may be convened by a majority of our board of directors. Advance notice of at least fourteen calendar days is required for the convening of our annual general shareholders’ meeting and any other general meeting of our shareholders. A quorum required for a general meeting of shareholders consists of at least one shareholder present or by proxy, representing not less than one-third of the total voting power of their outstanding shares in our company.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two or more shareholders holding shares representing in aggregate not less than one-third of the total voting rights in the paid up capital of our company to requisition an extraordinary general meeting of the shareholders, in which case our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 called by such shareholders.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Election and Removal of Directors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determined by our company in general meeting, our memorandum and articles of association provide that our board of directors will consist of not less than two directors. There are no provisions relating to retirement of directors upon reaching any age limit.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have the power to appoint any person as a director either to fill a casual vacancy on the board or as an addition to the existing board. Any director so appointed shall hold office only until the next following annual general meeting of our company and shall then be eligible for re-election at that meeting. At each annual general meeting, one-third of the directors for the time being, or, if their number is not three or a multiple of three, then the number nearest to, but not less than, one-third, shall retire from office by rotation. The directors to retire in every year shall be those who have been longest in office since their last election but as between persons who became directors on the same day those to retire shall (unless they otherwise agree between themselves) be determined by lot. A retiring director shall retain office until the close of the meeting at which he retires, and shall be eligible for re-election thereat.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shareholders may also appoint any person to be a director by way of ordinary resolution.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director may be removed with or without cause by an ordinary resolution of our shareholders. The office of a director shall also be vacated automatically if, among other things, the director (1) becomes bankrupt or has a receiving order made against him or suspends payment or compounds with his creditors generally; or (2) dies or an order is made by any competent court or official on the grounds that he is or may be suffering from mental disorder or is otherwise incapable of managing his affairs and the board of directors resolves that his office be vacated; or (3) without leave, is absent from meetings of the board for a continuous period of 12 months, and the board resolves that his office be vacated; or (4) ceases to be or is prohibited from being a director by law or by virtue of any provisions in our articles of association; or (5) is removed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office by notice in writing served upon him signed by not less than three-fourths in number (or, if that is not a round number, the nearest lower round number) of our directors (including himself) then in office.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Proceedings of Board of Directors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memorandum and articles of association provide that our business is to be managed and conducted by our board of directors. The quorum necessary for board meetings may be fixed by the board and, unless so fixed at another number, will be a majority of the directors then in office.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memorandum and articles of association provide that our board of directors may from time to time at its discretion exercise all powers of our company to raise or borrow or to secure the payment of any sum or sums of money for the purposes of our company and to mortgage or charge the undertaking, property and assets (present and future) and uncalled capital of our company and issue debentures, bonds and other securities of our company, whether outright or as collateral security for any debt, liability or obligation of our company or of any third party.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Inspection of Books and Records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ordinary shares have no general right under Cayman Islands law to inspect or obtain copies of our list of shareholders or our corporate records (other than the memorandum and articles of association, the register of mortgages and charges, and copies of any special resolutions passed by our shareholders). However, we intend to provide our shareholders with annual audited financial statements.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Capital</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shareholders may from time to time by ordinary resolution: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our share capital by such sum, to be divided into shares of such amount, as the resolution shall prescribe;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largest"/>
                <wp:docPr id="30" name="Frame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 and divide all or any of our share capital into shares of a larger amount than our existing shares;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largest"/>
                <wp:docPr id="31" name="Frame3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largest"/>
                <wp:docPr id="32" name="Frame3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 any shares which, at the date of the passing of the resolution, have not been taken or agreed to be taken by any person and diminish the amount of our share capital by the amount of the shares so cancelled.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largest"/>
                <wp:docPr id="33" name="Frame3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shareholders may by special resolution, subject to confirmation by the Grand Court of the Cayman Islands on an application by our company for an order confirming such reduction, reduce our share capital or any capital redemption reserve in any manner permitted by law.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Exempted Company</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does not have to file an annual return of its shareholders with the Registrar of Companies;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largest"/>
                <wp:docPr id="34" name="Frame3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company’s register of members is not required to be open to inspection;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largest"/>
                <wp:docPr id="35" name="Frame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does not have to hold an annual general meeting; </w:t>
      </w:r>
      <w:r>
        <mc:AlternateContent>
          <mc:Choice Requires="wps">
            <w:drawing>
              <wp:anchor behindDoc="0" distT="7747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largest"/>
                <wp:docPr id="36" name="Frame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issue no par value, negotiable or bearer shares; </w:t>
      </w:r>
      <w:r>
        <mc:AlternateContent>
          <mc:Choice Requires="wps">
            <w:drawing>
              <wp:anchor behindDoc="0" distT="7747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largest"/>
                <wp:docPr id="37" name="Frame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obtain an undertaking against the imposition of any future taxation (such undertakings are usually given for 20 years in the first instance); </w:t>
      </w:r>
      <w:r>
        <mc:AlternateContent>
          <mc:Choice Requires="wps">
            <w:drawing>
              <wp:anchor behindDoc="0" distT="0" distB="0" distL="254000" distR="0" simplePos="0" locked="0" layoutInCell="1" allowOverlap="1" relativeHeight="46">
                <wp:simplePos x="0" y="0"/>
                <wp:positionH relativeFrom="column">
                  <wp:align>left</wp:align>
                </wp:positionH>
                <wp:positionV relativeFrom="line">
                  <wp:posOffset>635</wp:posOffset>
                </wp:positionV>
                <wp:extent cx="127000" cy="350520"/>
                <wp:effectExtent l="0" t="0" r="0" b="0"/>
                <wp:wrapSquare wrapText="largest"/>
                <wp:docPr id="38" name="Frame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register by way of continuation in another jurisdiction and be deregistered in the Cayman Islands;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largest"/>
                <wp:docPr id="39" name="Frame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register as a limited duration company; and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largest"/>
                <wp:docPr id="40" name="Frame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register as a segregated portfolio company.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largest"/>
                <wp:docPr id="41" name="Frame4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We are subject to reporting and other informational requirements of the Exchange Act, as applicable to foreign private issuers. Except as otherwise disclosed in this prospectus, we currently intend to comply with the Nasdaq rules in lieu of following home country practice.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Differences in Corporate Law</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is derived, to a large extent, from the older Companies Acts of England but does not follow recent United Kingdom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United States and their shareholders.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Mergers and Similar Arrangements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there are statutory provisions that facilitate the reconstruction and amalgamation of companies; provided that the arrangement is approved by a majority in number of each class of shareholders or creditors (representing 75% by value)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statutory provisions as to the required majority vote have been met;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largest"/>
                <wp:docPr id="42" name="Frame4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have been fairly represented at the meeting in question and the statutory majority are acting bona fide without coercion of the minority to promote interests adverse to those of the class; </w:t>
      </w:r>
      <w:r>
        <mc:AlternateContent>
          <mc:Choice Requires="wps">
            <w:drawing>
              <wp:anchor behindDoc="0" distT="0" distB="0" distL="254000" distR="0" simplePos="0" locked="0" layoutInCell="1" allowOverlap="1" relativeHeight="51">
                <wp:simplePos x="0" y="0"/>
                <wp:positionH relativeFrom="column">
                  <wp:align>left</wp:align>
                </wp:positionH>
                <wp:positionV relativeFrom="line">
                  <wp:posOffset>635</wp:posOffset>
                </wp:positionV>
                <wp:extent cx="127000" cy="350520"/>
                <wp:effectExtent l="0" t="0" r="0" b="0"/>
                <wp:wrapSquare wrapText="largest"/>
                <wp:docPr id="43" name="Frame4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arrangement is such that may be reasonably approved by an intelligent and honest man of that class acting in respect of his interest; and </w:t>
      </w:r>
      <w:r>
        <mc:AlternateContent>
          <mc:Choice Requires="wps">
            <w:drawing>
              <wp:anchor behindDoc="0" distT="889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largest"/>
                <wp:docPr id="44" name="Frame4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arrangement is not one that would more properly be sanctioned under some other provision of the Companies Act. </w:t>
      </w:r>
      <w:r>
        <mc:AlternateContent>
          <mc:Choice Requires="wps">
            <w:drawing>
              <wp:anchor behindDoc="0" distT="889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largest"/>
                <wp:docPr id="45" name="Frame4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a takeover offer is made and accepted by holders of 90% of the shares affected within four months, the offeror may, within a two-month period commencing on the expiration of such four-month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Suits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derivative actions in the name of, a company to challenge the following: </w:t>
      </w:r>
    </w:p>
    <w:p>
      <w:pPr>
        <w:pStyle w:val="TextBody"/>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acts which is illegal or ultra vires; </w:t>
      </w:r>
      <w:r>
        <mc:AlternateContent>
          <mc:Choice Requires="wps">
            <w:drawing>
              <wp:anchor behindDoc="0" distT="889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largest"/>
                <wp:docPr id="46" name="Frame4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 which, although not ultra vires, could only be effected duly if authorized by a special or qualified majority vote that has not been obtained; and </w:t>
      </w:r>
      <w:r>
        <mc:AlternateContent>
          <mc:Choice Requires="wps">
            <w:drawing>
              <wp:anchor behindDoc="0" distT="889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largest"/>
                <wp:docPr id="47" name="Frame4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 which constitutes a fraud on the minority where the wrongdoers are themselves in control of the company. </w:t>
      </w:r>
      <w:r>
        <mc:AlternateContent>
          <mc:Choice Requires="wps">
            <w:drawing>
              <wp:anchor behindDoc="0" distT="889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largest"/>
                <wp:docPr id="48" name="Frame4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of Directors and Executive Officers and Limitation of Liability</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our directors and officers shall be indemnified out of the assets and profits of our company from and against all actions, costs, charges, losses, damages and expenses which they shall or may incur or sustain by or by reason of any act done, concurred in or omitted in or about the execution of their duty, or supposed duty, in their respective offices or trusts; provided that this indemnity shall not extend to any matter in respect of any fraud or dishonesty which may attach to any of said persons. This standard of conduct is generally the same as permitted under the Delaware General Corporation Law for a Delaware corporation. In addition, we have entered into indemnification agreements with our directors and senior executive officers that provide such persons with additional indemnification beyond that provided in our memorandum and articles of association.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Anti-Takeover Provisions in the Memorandum and Articles of Association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our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under Cayman Islands law, our directors may only exercise the rights and powers granted to them under our memorandum and articles of association, as amended and restated from time to time, for a proper purpose and for what they believe in good faith to be in the best interests of our company.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Directors’ Fiduciary Duties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matter of Cayman Islands law, a director of a Cayman Islands company is in the position of a fiduciary with respect to the company and therefore he owes the following duties to the company — a duty to act in 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 Proposals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provides that, on the requisition of any two or more shareholders holding shares representing in aggregate not less than one-third of the total voting rights in the paid up capital of our company, the board shall convene an extraordinary general meeting. However, our memorandum and articles of association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 not provide our shareholders with any right to put any proposals before annual general meetings or extraordinary general meetings not called by such shareholders. As a Cayman Islands exempted company, we are not obliged by law to call shareholders’ annual general meetings, but our memorandum and articles of association obliges our company in each year to hold a general meeting as our annual general meeting in addition to any other meeting in that year. The annual general meeting may be held at such time and place as our board of directors shall appoint.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Cumulative Voting</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memorandum and articles of association do not provide for cumulative voting. As a result, our shareholders are not afforded any less protections or rights on this issue than shareholders of a Delaware corporation.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Removal of Directors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with or without cause by ordinary resolution of our shareholders. The office of a director shall also be vacated automatically if, among other things, the director (1) becomes bankrupt or has a receiving order made against him or suspends payment or compounds with his creditors generally; or (2) an order is made by any competent court or official on the grounds that he is or may be suffering from mental disorder or is otherwise incapable of managing his affairs and our board of directors resolves that his office be vacated; or (3) without leave, is absent from meetings of the board for a continuous period of 12 months, and our board of directors resolves that his office be vacated; or (4) ceases to be or is prohibited from being a director by law or by virtue of any provisions in our memorandum and articles of association; or (5) is removed from office by notice in writing served upon him signed by not less than three-fourths in number (or, if that is not a round number, the nearest lower round number) of our directors (including himself) then in office.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Transactions with Interested Shareholders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bona fide in the best interests of the company and for a proper corporate purpose and not with the effect of constituting a fraud on the minority shareholders.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Dissolution; Winding Up</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Variation of Rights of Shares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our share capital is divided into more than one class of shares, we may vary the rights attached to any class only with the written consent of the holders of not less than two-thirds in nominal value of the issued shares of that class or with the sanction of a special resolution passed at a separate meeting of the holders of shares of that class.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Governing Documents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Act and our memorandum and articles of association, our memorandum and articles of association may only be amended by a special resolution of our shareholders.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of Non-Resident or Foreign Shareholders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limitations imposed by our memorandum and articles of association on the rights of non-resident or foreign shareholders to hold or exercise voting rights on our shares. In addition, there are no provisions in our memorandum and articles of association which require our company to disclose shareholder ownership above any particular ownership threshold.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Directors’ Power to Issue Shares.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memorandum and articles of association, our board of directors is empowered to issue or allot shares or grant options and warrants with or without preferred, deferred, qualified or other special rights or restrictions.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History of Securities Issuances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our securities issuances in the past three years.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Debt Securities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2019, we issued US$800 million principal amount of senior notes due 2024 (the “2024 Notes”). The 2024 Notes were issued at par value and bear an annual interest rate of 3.50%, payable semiannually in arrears on January 5 and July 5 of each year, beginning on January 5, 2020. The 2024 Notes will mature on July 5, 2024, unless previously repurchased or redeemed in accordance with their terms prior to the maturity.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680"/>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2020, we issued US$750 million in aggregate principal amount of senior notes due 2030 (the “2030 Notes”). The 2030 Notes bear an annual interest rate of 3.375%, payable semiannually in arrears on January 8 and July 8 of each year, beginning on January 8, 2021. The 2030 Notes will mature on July 8, 2030, unless previously repurchased or redeemed in accordance with their terms prior to maturity.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Option Grants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pPr>
      <w:r>
        <w:rPr>
          <w:rFonts w:ascii="Times New Roman;Times;serif" w:hAnsi="Times New Roman;Times;serif"/>
          <w:b w:val="false"/>
          <w:i w:val="false"/>
          <w:caps w:val="false"/>
          <w:smallCaps w:val="false"/>
          <w:color w:val="000000"/>
          <w:spacing w:val="4"/>
          <w:sz w:val="20"/>
        </w:rPr>
        <w:t xml:space="preserve">We have granted options to purchase our ordinary shares to certain of our directors, executive officers and employees. See “Item 6. Directors, Senior Management and Employees — B. Compensation of Directors and Executive Officers — Share Incentive Plans.” in our annual report on </w:t>
      </w:r>
      <w:hyperlink r:id="rId3">
        <w:r>
          <w:rPr>
            <w:rStyle w:val="InternetLink"/>
          </w:rPr>
          <w:t>Form 20-F for the year ended December 31, 2020</w:t>
        </w:r>
      </w:hyperlink>
      <w:r>
        <w:rPr>
          <w:rFonts w:ascii="Times New Roman;Times;serif" w:hAnsi="Times New Roman;Times;serif"/>
          <w:b w:val="false"/>
          <w:i w:val="false"/>
          <w:caps w:val="false"/>
          <w:smallCaps w:val="false"/>
          <w:color w:val="000000"/>
          <w:spacing w:val="4"/>
          <w:sz w:val="20"/>
        </w:rPr>
        <w:t xml:space="preserve">, which is incorporated in this prospectus by reference.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Agreement and Registration Rights Agreement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pPr>
      <w:r>
        <w:rPr>
          <w:rFonts w:ascii="Times New Roman;Times;serif" w:hAnsi="Times New Roman;Times;serif"/>
          <w:b w:val="false"/>
          <w:i w:val="false"/>
          <w:caps w:val="false"/>
          <w:smallCaps w:val="false"/>
          <w:color w:val="000000"/>
          <w:spacing w:val="4"/>
          <w:sz w:val="20"/>
        </w:rPr>
        <w:t xml:space="preserve">Concurrently with Alibaba’s purchase of our ordinary and preferred shares in April 2013, we entered into a shareholders’ agreement with Ali WB and SINA which regulates our shareholders’ rights and obligations after Ali WB became our shareholder, which agreement was amended and restated in March 2014. We also entered into a registration rights agreement with SINA and Ali WB. See “Item 7. Major Shareholders and Related Party Transactions — B. Related Party Transactions — Our Relationship with Alibaba.” in our annual report on </w:t>
      </w:r>
      <w:hyperlink r:id="rId4">
        <w:r>
          <w:rPr>
            <w:rStyle w:val="InternetLink"/>
          </w:rPr>
          <w:t>Form 20-F for the year ended December 31, 2020</w:t>
        </w:r>
      </w:hyperlink>
      <w:r>
        <w:rPr>
          <w:rFonts w:ascii="Times New Roman;Times;serif" w:hAnsi="Times New Roman;Times;serif"/>
          <w:b w:val="false"/>
          <w:i w:val="false"/>
          <w:caps w:val="false"/>
          <w:smallCaps w:val="false"/>
          <w:color w:val="000000"/>
          <w:spacing w:val="4"/>
          <w:sz w:val="20"/>
        </w:rPr>
        <w:t>, which is incorporated in this prospectus by reference.</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AD"/>
      <w:bookmarkEnd w:id="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AMERICAN DEPOSITARY SHARES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American Depositary Receipts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JPMorgan Chase Bank, N.A., as depositary, will issue the ADSs which you will be entitled to receive in this offering. Each ADS will represent an ownership interest in a designated number or percentage of shares which we will deposit with the custodian, as agent of the depositary, under the deposit agreement among ourselves, the depositary, yourself as an ADR holder and all other ADR holders, and all beneficial owners of an interest in the ADSs evidenced by ADRs from time to time.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depositary’s office is located at 383 Madison Avenue, Floor 11, New York, NY 10179.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While a beneficial owner is bound by all of the provisions of the deposit agreement, it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ADR holder or beneficial owner, we will not treat you as a shareholder of ours and you will not have any shareholder rights. The laws of the Cayman Islands govern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 The deposit agreement, the ADRs and the ADSs are governed by New York law without giving effect to the application of the conflict of law principles of New York. Under the deposit agreement, as an ADR holder or a beneficial owner of ADSs,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you may have to the laying of venue of any such proceeding and irrevocably submit to the exclusive jurisdiction of such courts in any such suit, action or proceeding.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(or any amendment thereto) filed with the U.S. Securities and Exchange Commission (the “SEC”) of which this prospectus forms a part. You may also obtain a copy of the deposit agreement at the SEC’s Public Reference Room which is currently located at 100 F Street, NE, Washington, DC 20549. You may obtain information on the operation of the Public Reference Room by calling the SEC at 1-800-732-0330. You may also find the registration statement and the attached deposit agreement through the EDGAR system on the SEC’s internet website at http://www.sec.gov.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will I receive dividends and other distributions on the shares underlying my ADSs?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stated below, the depositary will deliver such distributions to ADR holders in proportion to their interests in the following manner: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w:t>
      </w:r>
      <w:r>
        <w:rPr>
          <w:rFonts w:ascii="Times New Roman;Times;serif" w:hAnsi="Times New Roman;Times;serif"/>
          <w:b w:val="false"/>
          <w:i w:val="false"/>
          <w:caps w:val="false"/>
          <w:smallCaps w:val="false"/>
          <w:color w:val="000000"/>
          <w:spacing w:val="4"/>
          <w:sz w:val="20"/>
        </w:rPr>
        <w:t xml:space="preserve">   The depositary will distribute any U.S. dollars available to it resulting from a cash dividend or other cash distribution or the net proceeds of 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w:t>
      </w:r>
      <w:r>
        <w:rPr>
          <w:rFonts w:ascii="Times New Roman;Times;serif" w:hAnsi="Times New Roman;Times;serif"/>
          <w:b w:val="false"/>
          <w:i/>
          <w:caps w:val="false"/>
          <w:smallCaps w:val="false"/>
          <w:color w:val="000000"/>
          <w:spacing w:val="4"/>
          <w:sz w:val="20"/>
        </w:rPr>
        <w:t>If exchange rates fluctuate during a time when the depositary cannot convert a foreign currency, you may lose some or all of the value of the distribution.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largest"/>
                <wp:docPr id="49" name="Frame4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In the case of a distribution in shares, the depositary will issue additional ADRs to evidence the number of ADSs representing such shares. Only whole ADSs will be issued. Any shares which would result in fractional ADSs will be sold and the net proceeds will be distributed in the same manner as cash to the ADR holders entitled thereto.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largest"/>
                <wp:docPr id="50" name="Frame4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Rights to receive additional shares.</w:t>
      </w:r>
      <w:r>
        <w:rPr>
          <w:rFonts w:ascii="Times New Roman;Times;serif" w:hAnsi="Times New Roman;Times;serif"/>
          <w:b w:val="false"/>
          <w:i w:val="false"/>
          <w:caps w:val="false"/>
          <w:smallCaps w:val="false"/>
          <w:color w:val="000000"/>
          <w:spacing w:val="4"/>
          <w:sz w:val="20"/>
        </w:rPr>
        <w:t xml:space="preserve">   In the case of a distribution of rights to subscribe for additional shares or other 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largest"/>
                <wp:docPr id="51" name="Frame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9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sell such rights if practicable and distribute the net proceeds in the same manner as cash to the ADR holders entitled thereto; 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9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it is not practicable to sell such rights by reason of the non-transferability of the rights, limited markets therefor, their short duration or otherwise, do nothing and allow such rights to lapse, in which case ADR holders will receive nothing and the rights may lapse. We have no obligation to file a registration statement under the U.S. Securities Act of 1933, as amended (the “Securities Act”), in order to make any rights available to ADR holders.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Distributions.</w:t>
      </w:r>
      <w:r>
        <w:rPr>
          <w:rFonts w:ascii="Times New Roman;Times;serif" w:hAnsi="Times New Roman;Times;serif"/>
          <w:b w:val="false"/>
          <w:i w:val="false"/>
          <w:caps w:val="false"/>
          <w:smallCaps w:val="false"/>
          <w:color w:val="000000"/>
          <w:spacing w:val="4"/>
          <w:sz w:val="20"/>
        </w:rPr>
        <w:t xml:space="preserve">   In the case of a distribution of securities or property other than those described above, the depositary may either (i) 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largest"/>
                <wp:docPr id="52" name="Frame5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as contemplated in the deposit agreement and reimbursable to the depositary. Any U.S. dollars will be distributed by checks drawn on a bank in the United States for whole dollars and cents. Fractional cents will be withheld without liability and dealt with by the depositary in accordance with its then current practices. We agree that we will not make cash distributions (including, without limitation, cash dividends) to shareholders in a currency other than U.S. dollars. </w:t>
      </w:r>
    </w:p>
    <w:p>
      <w:pPr>
        <w:pStyle w:val="TextBody"/>
        <w:spacing w:lineRule="atLeast" w:line="23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depositary is not responsible if it fails to determine that any distribution or action is lawful or reasonably practicable. </w:t>
      </w:r>
    </w:p>
    <w:p>
      <w:pPr>
        <w:pStyle w:val="TextBody"/>
        <w:spacing w:lineRule="atLeast" w:line="23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Deposit, Withdrawal and Cancellation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does the depositary issue ADSs?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custodian will hold all deposited shares (including those being deposited by or on our behalf in connection with the offering to which this prospectus relates) for the account and to the order of the depositary, in each case for the benefit of ADR holders, to the extent not prohibited by law.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Deposited securities are not intended to, and shall not, constitute proprietary assets of the depositary, the custodian or their nominees. Beneficial ownership in deposited securities is intended to be, and shall at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 ADR holders cancel an ADS and obtain deposited securities?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only restrict the withdrawal of deposited securities in connection with: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temporary delays caused by closing our transfer books or those of the depositary or the deposit of shares in connection with voting at a shareholders’ meeting, or the payment of dividends;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largest"/>
                <wp:docPr id="53" name="Frame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payment of fees, taxes and similar charges; or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largest"/>
                <wp:docPr id="54" name="Frame5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any U.S. or foreign laws or governmental regulations relating to the ADRs or to the withdrawal of deposited securities. </w:t>
      </w:r>
      <w:r>
        <mc:AlternateContent>
          <mc:Choice Requires="wps">
            <w:drawing>
              <wp:anchor behindDoc="0" distT="7747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largest"/>
                <wp:docPr id="55" name="Frame5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right of withdrawal may not be limited by any other provision of the deposit agreement.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in the deposit agreement that at all times during the term of the deposit agreement and thereafter until all ADSs issued by the depositary have been cancelled, to the extent any instructions, input, consent, notice and/or other actions are required from us in order for us or our share registrar and/or transfer agent to processes share delivery instructions with respect to our shares, we shall not unreasonably withhold the provision of such instructions, input, consent, or notice or the taking of any such other action. If our share registrar and/or transfer agent refuses to process any such share delivery instruction, we will provide all reasonable cooperation to the depositary in its efforts to cause such instructions to be processed.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receive any distribution on or in respect of deposited securities,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largest"/>
                <wp:docPr id="56" name="Frame5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give instructions for the exercise of voting rights at a meeting of holders of shares,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largest"/>
                <wp:docPr id="57" name="Frame5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pay any fees, expenses or charges assessed by, or owing to, the depositary for administration of the ADR program as provided for in the ADR, or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largest"/>
                <wp:docPr id="58" name="Frame5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receive any notice or to act or be obligated in respect of other matters,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largest"/>
                <wp:docPr id="59" name="Frame5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subject to the provisions of the deposit agreement.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Rights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 I vote?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and provided no legal prohibitions exist, distribute to the registered ADR holders a “voting notice” stating (i) final information particular to such vote and meeting and any solicitation materials, (ii) that each ADR holder on the record date set by the depositary will, subject to any applicable provisions of the laws of the Cayman Islands, be entitled to instruct the depositary as to the exercise of the voting rights, if any, pertaining to the deposited securities represented by the ADSs evidenced by such ADR holder’s ADRs and (iii) the manner in which such instructions may be given,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or for the effect of any such vote. Notwithstanding anything contained in the deposit agreement or any ADR, the depositary may, to the extent not prohibited by any law, rule, or regulation, or the rules and/or requirements of any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by reference to a website containing the materials for retrieval or a contact for requesting copies of the materials).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advised the depositary that under the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ADR holders shall lapse. The depositary will not demand a poll or join in demanding a poll, whether or not requested to do so by ADR holders or beneficial owners.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guarantee that you will receive voting materials in time to instruct the depositary to vote and it is possible that you, or persons who hold their ADSs through brokers, dealers or other third parties, will not have the opportunity to exercise a right to vote.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Reports and Other Communications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Will ADR holders be able to view our reports?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if we make any written communications generally available to holders of our shares, and we furnish copies thereof (or English translations or summaries) to the depositary, it will distribute the same to registered ADR holders.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and Expenses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fees and expenses will I be responsible for paying?</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fee of U.S.$0.05 or less per ADS upon which any cash distribution is made, pursuant to the deposit agreement;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largest"/>
                <wp:docPr id="60" name="Frame5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largest"/>
                <wp:docPr id="61" name="Frame6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 </w:t>
      </w:r>
      <w:r>
        <mc:AlternateContent>
          <mc:Choice Requires="wps">
            <w:drawing>
              <wp:anchor behindDoc="0" distT="7366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largest"/>
                <wp:docPr id="62" name="Frame6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 </w:t>
      </w:r>
      <w:r>
        <mc:AlternateContent>
          <mc:Choice Requires="wps">
            <w:drawing>
              <wp:anchor behindDoc="0" distT="736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largest"/>
                <wp:docPr id="63" name="Frame6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transfer or other taxes and other governmental charges;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largest"/>
                <wp:docPr id="64" name="Frame6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cable, telex and facsimile transmission and delivery charges incurred at your request in connection with the deposit or delivery of shares, ADRs or deposited securities; </w:t>
      </w:r>
      <w:r>
        <mc:AlternateContent>
          <mc:Choice Requires="wps">
            <w:drawing>
              <wp:anchor behindDoc="0" distT="0" distB="0" distL="254000" distR="0" simplePos="0" locked="0" layoutInCell="1" allowOverlap="1" relativeHeight="73">
                <wp:simplePos x="0" y="0"/>
                <wp:positionH relativeFrom="column">
                  <wp:align>left</wp:align>
                </wp:positionH>
                <wp:positionV relativeFrom="line">
                  <wp:posOffset>635</wp:posOffset>
                </wp:positionV>
                <wp:extent cx="127000" cy="350520"/>
                <wp:effectExtent l="0" t="0" r="0" b="0"/>
                <wp:wrapSquare wrapText="largest"/>
                <wp:docPr id="65" name="Frame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 or registration fees for the registration of transfer of deposited securities on any applicable register in connection with the deposit or withdrawal of deposited securities; and </w:t>
      </w:r>
      <w:r>
        <mc:AlternateContent>
          <mc:Choice Requires="wps">
            <w:drawing>
              <wp:anchor behindDoc="0" distT="774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largest"/>
                <wp:docPr id="66" name="Frame6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fees of any division, branch or affiliate of the depositary utilized by the depositary to direct, manage and/or execute any public and/or private sale of securities under the deposit agreement. </w:t>
      </w:r>
      <w:r>
        <mc:AlternateContent>
          <mc:Choice Requires="wps">
            <w:drawing>
              <wp:anchor behindDoc="0" distT="774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largest"/>
                <wp:docPr id="67" name="Frame6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facilitate the administration of various depositary receipt transactions, including disbursement of dividends or other cash distributions and other corporate actions, the depositary may engage the foreign exchange desk within JPMorgan Chase Bank, N.A. (the “</w:t>
      </w:r>
      <w:r>
        <w:rPr>
          <w:rFonts w:ascii="Times New Roman;Times;serif" w:hAnsi="Times New Roman;Times;serif"/>
          <w:b/>
          <w:i w:val="false"/>
          <w:caps w:val="false"/>
          <w:smallCaps w:val="false"/>
          <w:color w:val="000000"/>
          <w:spacing w:val="-4"/>
          <w:sz w:val="20"/>
        </w:rPr>
        <w:t>Bank</w:t>
      </w:r>
      <w:r>
        <w:rPr>
          <w:rFonts w:ascii="Times New Roman;Times;serif" w:hAnsi="Times New Roman;Times;serif"/>
          <w:b w:val="false"/>
          <w:i w:val="false"/>
          <w:caps w:val="false"/>
          <w:smallCaps w:val="false"/>
          <w:color w:val="000000"/>
          <w:spacing w:val="4"/>
          <w:sz w:val="20"/>
        </w:rPr>
        <w:t xml:space="preserve">”)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foreign exchange rate applied to an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www.adr.com (as updated by the depositary from time to time,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an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w:t>
      </w:r>
      <w:r>
        <w:rPr>
          <w:rFonts w:ascii="Times New Roman;Times;serif" w:hAnsi="Times New Roman;Times;serif"/>
          <w:b w:val="false"/>
          <w:i/>
          <w:caps w:val="false"/>
          <w:smallCaps w:val="false"/>
          <w:color w:val="000000"/>
          <w:spacing w:val="4"/>
          <w:sz w:val="20"/>
        </w:rPr>
        <w:t>The spread applied does not reflect any gains or losses that may be earned or incurred by the Bank and its affiliates as a result of risk management or other hedging related activity.</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to the extent we provide U.S. dollars to the depositary, neither the Bank nor any of its affiliates will execute a foreign exchange transaction as set forth herein. In such case, the depositary will distribute the U.S. dollars received from us. </w:t>
      </w:r>
    </w:p>
    <w:p>
      <w:pPr>
        <w:pStyle w:val="TextBody"/>
        <w:spacing w:lineRule="atLeast" w:line="24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other charges and expenses of the depositary and any agent of the depositary (except the custodian) pursuant to agreements from time to time between us and the depositary.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of the depositary to charge and receive payment of fees, charges and expenses survives the termination of the deposit agreement, and shall extend for those fees, charges and expenses incurred prior to the effectiveness of any resignation or removal of the depositary.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fees and charges described above may be amended from time to time by agreement between us and the depositary.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acting for them. The depositary collects fees for making distributions to investors by deducting those fees from the amounts distributed or by selling a portion of distributable property to pay the fees.The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of Taxes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ADR holder thereof to the depositary and by holding or having held, an ADR or any ADSs evidenced thereby, the ADR holder and all beneficial owners thereof, and all prior ADR holders and beneficial owners thereof, jointly and severally, agree to indemnify, defend and save harmless each of the depositary and its agents in respect of such tax or governmental charge. Each ADR holder and beneficial owner of ADSs, and each prior ADR holder and beneficial owner of ADSs, by holding or having held an ADR or an interest in ADSs acknowledges and agrees that the depositary shall have the right to seek payment of any taxes or governmental charges owing with respect to their relevant ADRs from any one or more such current or prior ADR holder or beneficial owner of ADSs, as determined by the depositary in its sole discretion, without any obligation to seek payment of amounts owing from any other current or prior ADR holder or beneficial owner of ADSs.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Reclassifications, Recapitalizations and Mergers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the form of ADR;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largest"/>
                <wp:docPr id="68" name="Frame6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distribute additional or amended ADRs; </w:t>
      </w:r>
      <w:r>
        <mc:AlternateContent>
          <mc:Choice Requires="wps">
            <w:drawing>
              <wp:anchor behindDoc="0" distT="749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largest"/>
                <wp:docPr id="69" name="Frame6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distribute cash, securities or other property it has received in connection with such actions; </w:t>
      </w:r>
      <w:r>
        <mc:AlternateContent>
          <mc:Choice Requires="wps">
            <w:drawing>
              <wp:anchor behindDoc="0" distT="0" distB="0" distL="254000" distR="0" simplePos="0" locked="0" layoutInCell="1" allowOverlap="1" relativeHeight="78">
                <wp:simplePos x="0" y="0"/>
                <wp:positionH relativeFrom="column">
                  <wp:align>left</wp:align>
                </wp:positionH>
                <wp:positionV relativeFrom="line">
                  <wp:posOffset>635</wp:posOffset>
                </wp:positionV>
                <wp:extent cx="127000" cy="350520"/>
                <wp:effectExtent l="0" t="0" r="0" b="0"/>
                <wp:wrapSquare wrapText="largest"/>
                <wp:docPr id="70" name="Frame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any securities or property received and distribute the proceeds as cash; or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largest"/>
                <wp:docPr id="71" name="Frame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above. </w:t>
      </w:r>
      <w:r>
        <mc:AlternateContent>
          <mc:Choice Requires="wps">
            <w:drawing>
              <wp:anchor behindDoc="0" distT="7747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largest"/>
                <wp:docPr id="72" name="Frame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does not choose any of the above options, any of the cash, securities or other property it receives will constitute part of the deposited securities and each ADS will then represent a proportionate interest in such property.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may the deposit agreement be amended?</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agree with the depositary to amend the deposit agreement and the ADSs without your consent for any reason. ADR holders must be given at least 30 days’ notice of any amendment that imposes or increases any fees or charges on a per ADS basis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amendments or supplements which (i) are reasonably necessary (as agreed by us and the depositary) in order for (a) the ADSs to be registered on Form F-6 under the Securities Act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upon retrieval from the SEC’s, the depositary’s or our website or upon request from the depositary).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may the deposit agreement be terminated?</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after our notice of removal was first provided to the depositary. Notwithstanding anything to the contrary herein, the depositary may terminate the deposit agreement without notifying us, but subject to giving 30 days’ notice to the ADR holders, under the following circumstances: (i) in the event of our bankruptcy or insolvency, (ii) if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effect (or will effect) a redemption of all or substantially all of the deposited securities, or a cash or share distribution representing a return of all or substantially all of the value of the deposited securities, or (iii)  there occurs a merger, consolidation, sale of assets or other transaction as a result of which securities or other property are delivered in exchange for or in lieu of deposited securities.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holder of ADRs. At such time as the ADSs cease to be DTC eligible and/or neither DTC nor any of its nominees is a holder of ADRs, the depositary shall (a) instruct its custodian to deliver all shares and/or deposited securities to us along with a general stock power that refers to the names set forth on the ADR register maintained by the depositary and (b) provide us with a copy of the ADR register maintained by the depositary. Upon receipt of such shares and/or deposited securities and the ADR register maintained by the depositary, we have agreed to use our best efforts to issue to each register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 After we receive the copy of the ADR register and the shares and/or deposited securities from the depositary, we shall be discharged from all obligations under the deposit agreement except (i) to distribute the shares to the registered ADR holders entitled thereto and (ii) for its obligations to the depositary and its agents.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Obligations and Liability to ADR holders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Limits on our obligations and the obligations of the depositary; limits on liability to ADR holders and holders of ADSs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largest"/>
                <wp:docPr id="73" name="Frame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largest"/>
                <wp:docPr id="74" name="Frame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such regulations as the depositary may establish consistent with the deposit agreement.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largest"/>
                <wp:docPr id="75" name="Frame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expressly limits the obligations and liability of the depositary, the depositary’s custodian or ourselves and each of our and their respective agents, provided, however, that no provision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is intended to constitute a waiver or limitation of any rights which ADR holders or beneficial owners of ADSs may have under the Securities Act of 1933 or the Securities Exchange Act of 1934, to the extent applicable. The deposit agreement provides that each of us, the depositary and our respective agents will: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no liability to holders or beneficial owners if any present or future law, rule, regulation, fiat, order or decree of the United Sates, the Cayman Islands, Hong Kong,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naturalization,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largest"/>
                <wp:docPr id="76" name="Frame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or assume no liability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largest"/>
                <wp:docPr id="77" name="Frame7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or assume no liability to holders or beneficial owners if it performs its obligations under the deposit agreement and ADRs without gross negligence or willful misconduct;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largest"/>
                <wp:docPr id="78" name="Frame7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depositary and its agents, be under no obligation to appear in, prosecute or defend any action, suit or other proceeding in respect of any deposited securities the ADSs or the ADRs;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largest"/>
                <wp:docPr id="79" name="Frame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largest"/>
                <wp:docPr id="80" name="Frame7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be liable to holders or beneficial owners for any action or inaction by it in reliance upon the advice of or information from legal counsel, accountants, any person presenting shares for deposit, any registered holder of ADRs, or any other person believed by it to be competent to give such advice or information, or in the case of the depositary only, us; or </w:t>
      </w:r>
      <w:r>
        <mc:AlternateContent>
          <mc:Choice Requires="wps">
            <w:drawing>
              <wp:anchor behindDoc="0" distT="7366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largest"/>
                <wp:docPr id="81" name="Frame8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rely and shall be protected in acting upon any written notice, request, direction, instruction or document believed by it to be genuine and to have been signed, presented or given by the proper party or parties. </w:t>
      </w:r>
      <w:r>
        <mc:AlternateContent>
          <mc:Choice Requires="wps">
            <w:drawing>
              <wp:anchor behindDoc="0" distT="7366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largest"/>
                <wp:docPr id="82" name="Frame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depositary nor its agents have any obligation to appear in, prosecute or defend any action, suit or other proceeding in respect of any deposited securities, the ADSs or the ADRs. We and our agents shall only be 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share registrar, share transfer agent,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services such as, but not limited to, attendance at any meetings of security holders.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no obligation to inform ADR holders or beneficial owners about the requirements of the laws, rules or regulations or any changes therein or thereto of any other country or jurisdiction or of any governmental or regulatory authority or any securities exchange or market or automated quotation system.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none of the depositary, the custodian or us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the depositary or us shall incur any liability for any tax or tax consequences that may be incurred by registered ADR holders or beneficial owners on account of their ownership or disposition of ADRs or ADSs.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depositary nor its agents will be responsible for any failure to carry out any instructions to vote any of the deposited securities, for the manner in which any such vote is castor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holders or beneficial owners,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or the Securities Exchange Act of 1934, to the extent applicable.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and its agents may own and deal in any class of securities of our company and our affiliates and in ADRs.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Disclosure of Interest in ADSs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the provisions of or governing any deposited securities may require disclosure of or impose limits on beneficial or other ownership of, or interests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 We reserve the right to instruct you (and through you or the beneficial owner of the ADSs evidenced by your ADRs) to deliver your ADSs for cancellation and withdrawal of the deposited securities so as to permit us to deal with you directly as a holder of shares and, by holding an ADS or an interest therein, you and beneficial owners will be agreeing to comply with such instructions.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Books of Depositary</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(and/or any portion thereof) may be closed at any time or from time to time, when deemed expedient by the depositary. Additionally, at our reasonable request in order to enable us to comply with applicable laws, the depositary may close the issuance book portion of such ADR register.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maintain facilities for the delivery and receipt of ADRs.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deposit agreement, each registered holder of ADRs and each beneficial owner, upon acceptance of any ADSs or ADRs (or any interest in any of them) issued in accordance with the terms and conditions of the deposit agreement will be deemed for all purposes to: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a party to and bound by the terms of the deposit agreement and the applicable ADR or ADRs,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largest"/>
                <wp:docPr id="83" name="Frame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and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largest"/>
                <wp:docPr id="84" name="Frame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or ADR holders or beneficial owners may have interests, (v) nothing contained in the deposit agreement or any ADR(s) shall (A) preclude the depositary or any of its divisions, branches or affiliates from engaging in such transactions or establishing or maintaining such relationships, or (B) obligate the depositary or any of its divisions, branches or affiliates to disclose such transactions or relationships or to account for any profit made or payment received in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largest"/>
                <wp:docPr id="85" name="Frame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Cayman Islands, Hong Kong, the People’s Republic of China and/or the United States and/or any other court of competent jurisdiction.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deposit agreement, by holding an ADS or an interest therein, ADR holders and beneficial owners each irrevocably agree that, subject to the Depositary’s arbitration rights described in the paragraph below, any legal suit, action or proceeding against or involving ADR holders or beneficial owners brought by us or the depositary, arising out of or based upon the deposit agreement, the ADSs or the ADRs or the transactions contemplated thereby, may be instituted in a state or federal court in New York, New York, irrevocably waive any objection which you may have to the laying of venue of any such proceeding, and irrevocably submit to the non-exclusive jurisdiction of such courts in any such suit, action or proceeding. By holding an ADS or an interest therein, ADR holders and beneficial owners each also irrevocably agrees that any legal suit, action or proceeding against or involving us or the depositary brought by ADR holders or beneficial owners, arising out of or based upon the deposit agreement, the ADSs or the ADRs or the transactions contemplated thereby, may only be instituted in a state or federal court in New York, New York, and by holding an ADS or an interest therein each irrevocably waives any objection which it may now or hereafter have to the laying of venue of any such proceeding, and irrevocably submits to the exclusive jurisdiction of such courts in any such suit, action or proceeding.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 the depositary may, in its sole discretion, elect to institute any dispute, suit, action, controversy, claim or proceeding directly or indirectly based on, arising out of or relating to the deposit agreement, the ADSs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conducted under the terms described below,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 arbitration conducted under the terms described in the deposit agreement.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Jury Trial Waiver</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including any suit, action or proceeding under the U.S. federal securities laws.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EOCL"/>
      <w:bookmarkEnd w:id="1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CIVIL LIABILITIES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Cayman Islands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under the laws of the Cayman Islands as an exempted company with limited liability. We are incorporated in the Cayman Islands because of certain benefits associated with being a Cayman Islands exempted company, such as: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 economic stability,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largest"/>
                <wp:docPr id="86" name="Frame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effective judicial system,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largest"/>
                <wp:docPr id="87" name="Frame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favorable tax system, </w:t>
      </w:r>
      <w:r>
        <mc:AlternateContent>
          <mc:Choice Requires="wps">
            <w:drawing>
              <wp:anchor behindDoc="0" distT="736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largest"/>
                <wp:docPr id="88" name="Frame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foreign exchange control or currency restrictions, and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largest"/>
                <wp:docPr id="89" name="Frame8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professional and support services. </w:t>
      </w:r>
      <w:r>
        <mc:AlternateContent>
          <mc:Choice Requires="wps">
            <w:drawing>
              <wp:anchor behindDoc="0" distT="736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largest"/>
                <wp:docPr id="90" name="Frame8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certain disadvantages accompany incorporation in the Cayman Islands. These disadvantages include but are not limited to: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Islands has a less developed body of securities laws as compared to the United States and these securities laws provide significantly less protection to investors as compared to the United States; and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largest"/>
                <wp:docPr id="91" name="Frame9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companies may not have standing to sue before the federal courts of the United States.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largest"/>
                <wp:docPr id="92" name="Frame9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constituent documents do not contain provisions requiring that disputes, including those arising under the securities laws of the United States, between us, our officers, directors, and shareholders, be arbitrated.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Substantially all of our operations are conducted in China, and substantially all of our assets are located in China. All of our directors and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appointed Cogency Global Inc., located at 122 East 42nd Street, 18th Floor, New York, NY 10168, as our agent upon whom process may be served in any action brought against us under the securities laws of the United States.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Maples and Calder (Hong Kong) LLP, our counsel as to Cayman Islands law, has advised us that there is uncertainty as to whether the courts of the Cayman Islands would (i) recognize or enforce judgments of United States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that such judgment (i) is final and conclusive, (ii) is not in the nature of taxes, a fine, or a penalty; and (iii) was not obtained in a manner and is not of a kind the enforcement of which is contrary to natural justice or the public policy of the Cayman Islands. However, the Cayman Islands courts are unlikely to enforce 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96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judgment obtained from the United States courts under civil liability provisions of the United States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PRC</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TransAsia Lawyers, our counsel as to PRC law,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TransAsia Lawyers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prospectus. In addition, according to the PRC Civil Procedures Law, PRC courts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China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it will be difficult for U.S. shareholders to originate actions against us in China in accordance with PRC laws because we are incorporated under the laws of the Cayman Islands and it will be difficult for U.S. shareholders, by virtue only of holding our ADSs or Class A ordinary shares, to establish a connection to China for a PRC court to have jurisdiction as required under the PRC Civil Procedures Law.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TAX"/>
      <w:bookmarkEnd w:id="1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income tax considerations relating to the purchase, ownership and disposition of any of the securities offered by this prospectus will be set forth in the applicable prospectus supplement relating to the offering of those securities.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SESH"/>
      <w:bookmarkEnd w:id="1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SHAREHOLDERS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shareholders to be named in a prospectus supplement may, from time to time, offer and sell Class A ordinary shares of our company held by them pursuant to this prospectus and the applicable prospectus supplement. Such selling shareholders may sell Class A ordinary shares to or through underwriters, dealers or agents or directly to purchasers or as otherwise set forth in the applicable prospectus supplement. See “Plan of Distribution.” Such selling shareholders may also sell, transfer or otherwise dispose of Class A ordinary shares in transactions exempt from the registration requirements of the Securities Act.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selling shareholder is to offer and sell Class A ordinary shares pursuant to this prospectus, we will provide you with a prospectus supplement that sets forth the name of each such selling shareholder and the number of Class A ordinary shares beneficially owned by each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OD"/>
      <w:bookmarkEnd w:id="1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selling shareholders named in the applicable prospectus supplement may sell the securities described in this prospectus from time to time in one or more transactions, including without limitation: </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brokers or dealers; </w:t>
      </w:r>
      <w:r>
        <mc:AlternateContent>
          <mc:Choice Requires="wps">
            <w:drawing>
              <wp:anchor behindDoc="0" distT="7239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largest"/>
                <wp:docPr id="93" name="Frame9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239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largest"/>
                <wp:docPr id="94" name="Frame9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any national exchange on which the securities offered by this prospectus are listed or any automatic quotation system through which the securities may be quoted; </w:t>
      </w:r>
      <w:r>
        <mc:AlternateContent>
          <mc:Choice Requires="wps">
            <w:drawing>
              <wp:anchor behindDoc="0" distT="7239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largest"/>
                <wp:docPr id="95" name="Frame9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block trade in which the broker or dealer engaged to handle the block trade will attempt to sell the securities as agent, but may position and resell a portion of the block as principal to facilitate the transaction; </w:t>
      </w:r>
      <w:r>
        <mc:AlternateContent>
          <mc:Choice Requires="wps">
            <w:drawing>
              <wp:anchor behindDoc="0" distT="7239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largest"/>
                <wp:docPr id="96" name="Frame9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one or more purchasers in negotiated sales or competitively bid transactions; or </w:t>
      </w:r>
      <w:r>
        <mc:AlternateContent>
          <mc:Choice Requires="wps">
            <w:drawing>
              <wp:anchor behindDoc="0" distT="7239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largest"/>
                <wp:docPr id="97" name="Frame9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w:t>
      </w:r>
      <w:r>
        <mc:AlternateContent>
          <mc:Choice Requires="wps">
            <w:drawing>
              <wp:anchor behindDoc="0" distT="7239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largest"/>
                <wp:docPr id="98" name="Frame9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selling shareholders named in the applicable prospectus supplement may sell the securities offered by this prospectus at: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fixed price or prices, which may be changed;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largest"/>
                <wp:docPr id="99" name="Frame9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prices prevailing at the time of sale;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largest"/>
                <wp:docPr id="100" name="Frame9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such prevailing market prices; or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largest"/>
                <wp:docPr id="101" name="Frame10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largest"/>
                <wp:docPr id="102" name="Frame10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selling shareholders named in the applicable prospectus supplement may solicit offers to purchase the securities directly from the public from time to time. We or the selling shareholders named in the applicable prospectus supplement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or the selling shareholders named in the applicable prospectus supplement may sell securities to one or more dealers as principals. The dealers, who may be deemed to be “underwriters” as that term is defined in the Securities Act, may then resell those securities to the public. We or the selling shareholders named in the applicable prospectus supplement may sell securities from time to time to one or more underwriters, who would purchase the securities as principal for resale to the public, either on a firm-commitment or best-efforts basis. If we or the selling shareholders named in the applicable prospectus supplement sell securities to underwriters, we or the selling shareholders named in the applicable prospectus supplement will execute an underwriting agreement with them at the time of sale and will name them in the applicable prospectus supplement. In connection with those sales, underwriters may be deemed to have received compensation from us or the selling shareholders named in the applicable prospectus supplement in the form of underwriting discounts or commissions and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or the selling shareholders named in the applicable prospectus supplement, to indemnification by us or the selling shareholders named in the applicable prospectus supplement against civil liabilities, including liabilities under the Securities Act, or to contribution with respect to payments which they may be required to make.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the offering of the securities, including the following: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agent or any underwriters;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largest"/>
                <wp:docPr id="103" name="Frame10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or purchase price; </w:t>
      </w:r>
      <w:r>
        <mc:AlternateContent>
          <mc:Choice Requires="wps">
            <w:drawing>
              <wp:anchor behindDoc="0" distT="635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largest"/>
                <wp:docPr id="104" name="Frame10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paid to the agent or underwriters; </w:t>
      </w:r>
      <w:r>
        <mc:AlternateContent>
          <mc:Choice Requires="wps">
            <w:drawing>
              <wp:anchor behindDoc="0" distT="635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largest"/>
                <wp:docPr id="105" name="Frame10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items constituting underwriting compensation; </w:t>
      </w:r>
      <w:r>
        <mc:AlternateContent>
          <mc:Choice Requires="wps">
            <w:drawing>
              <wp:anchor behindDoc="0" distT="635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largest"/>
                <wp:docPr id="106" name="Frame10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paid to dealers; and </w:t>
      </w:r>
      <w:r>
        <mc:AlternateContent>
          <mc:Choice Requires="wps">
            <w:drawing>
              <wp:anchor behindDoc="0" distT="635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largest"/>
                <wp:docPr id="107" name="Frame10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exchanges on which the securities will be listed. </w:t>
      </w:r>
      <w:r>
        <mc:AlternateContent>
          <mc:Choice Requires="wps">
            <w:drawing>
              <wp:anchor behindDoc="0" distT="635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largest"/>
                <wp:docPr id="108" name="Frame10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pay expenses incurred with respect to the registration of shares owned by any selling shareholders.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dealers and agents, as well as their associates, may be customers of or lenders to, and may engage in transactions with and perform services for, Weibo Corporation and its subsidiaries.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an applicable prospectus supplement or confirmation of sale, the purchase price of the securities will be required to be paid in immediately available funds in New York City.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LEMA"/>
      <w:bookmarkEnd w:id="1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being represented by Skadden, Arps, Slate, Meagher &amp; Flom LLP with respect to certain legal matters as to United States federal securities and New York State law. Certain legal matters in connection with any offering made pursuant to this prospectus will be passed upon for the underwriters by a law firm named in the applicable prospectus supplement. The validity of the Class A ordinary shares offered in any offering will be passed upon for us by Maples and Calder (Hong Kong) LLP. Certain legal matters as to PRC law will be passed upon for us by TransAsia Lawyers. Skadden, Arps, Slate, Meagher &amp; Flom LLP may rely upon Maples and Calder (Hong Kong) LLP with respect to matters governed by Cayman Islands law and TransAsia Lawyers with respect to matters governed by PRC law.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XP"/>
      <w:bookmarkEnd w:id="1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Annual Report on Internal Control over Financial Reporting and Disclosure Controls and Procedures) incorporated in this prospectus by reference to the Annual Report on Form 20-F of Weibo Corporation for the year ended December 31, 2020 have been so incorporated in reliance on the report of PricewaterhouseCoopers Zhong Tian LLP, an independent registered public accounting firm, given on the authority of said firm as experts in auditing and accounting.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audited historical financial statements of Weibo Corporation at and for the six months ended June 30, 2021 included in Exhibit 99.2 of its current report on Form 6-K furnished to the SEC on November 18, 2021 have been so incorporated in reliance on the report of PricewaterhouseCoopers Zhong Tian LLP, an independent registered public accounting firm, given on the authority of said firm as experts in auditing and accounting.</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business address of PricewaterhouseCoopers Zhong Tian LLP is 6/F, DBS Bank Tower, 1318 Lu Jia Zui Ring Road, Pudong New Area, Shanghai, People’s Republic of China.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WYCF"/>
      <w:bookmarkEnd w:id="1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ABOUT US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the reporting requirements of the Exchange Act, and in accordance with the Exchange Act, we file annual reports and other information with the SEC. Information we file with the SEC can be obtained over the internet on the SEC’s website at </w:t>
      </w:r>
      <w:r>
        <w:rPr>
          <w:rFonts w:ascii="Times New Roman;Times;serif" w:hAnsi="Times New Roman;Times;serif"/>
          <w:b w:val="false"/>
          <w:i/>
          <w:caps w:val="false"/>
          <w:smallCaps w:val="false"/>
          <w:color w:val="000000"/>
          <w:spacing w:val="4"/>
          <w:sz w:val="20"/>
          <w:u w:val="single"/>
        </w:rPr>
        <w:t>www.sec.gov.</w:t>
      </w:r>
      <w:r>
        <w:rPr>
          <w:rFonts w:ascii="Times New Roman;Times;serif" w:hAnsi="Times New Roman;Times;serif"/>
          <w:b w:val="false"/>
          <w:i w:val="false"/>
          <w:caps w:val="false"/>
          <w:smallCaps w:val="false"/>
          <w:color w:val="000000"/>
          <w:spacing w:val="4"/>
          <w:sz w:val="20"/>
        </w:rPr>
        <w:t xml:space="preserve"> You can also find information on our website </w:t>
      </w:r>
      <w:r>
        <w:rPr>
          <w:rFonts w:ascii="Times New Roman;Times;serif" w:hAnsi="Times New Roman;Times;serif"/>
          <w:b w:val="false"/>
          <w:i/>
          <w:caps w:val="false"/>
          <w:smallCaps w:val="false"/>
          <w:color w:val="000000"/>
          <w:spacing w:val="4"/>
          <w:sz w:val="20"/>
          <w:u w:val="single"/>
        </w:rPr>
        <w:t>http://ir.weibo.com</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information contained on our website is not a part of this prospectus.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IODB"/>
      <w:bookmarkEnd w:id="1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DOCUMENTS BY REFERENCE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or between information incorporated by reference into this prospectus from different documents, you should rely on the information contained in the document that was filed later.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following documents: </w:t>
      </w:r>
    </w:p>
    <w:p>
      <w:pPr>
        <w:pStyle w:val="TextBody"/>
        <w:spacing w:lineRule="atLeast" w:line="240" w:before="120" w:after="0"/>
        <w:ind w:left="1993" w:right="0" w:hanging="0"/>
        <w:jc w:val="left"/>
        <w:rPr/>
      </w:pPr>
      <w:hyperlink r:id="rId5">
        <w:r>
          <w:rPr>
            <w:rStyle w:val="InternetLink"/>
          </w:rPr>
          <w:t>our annual report on Form 20-F for the fiscal year ended December 31, 2020 filed on April 22, 2021 (File No. 001-36397);</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largest"/>
                <wp:docPr id="109" name="Frame10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future annual reports on Form 20-F filed with the SEC after the date of this prospectus and prior to the termination of the offering of the securities offered by this prospectus;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largest"/>
                <wp:docPr id="110" name="Frame10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pPr>
      <w:hyperlink r:id="rId6">
        <w:r>
          <w:rPr>
            <w:rStyle w:val="InternetLink"/>
          </w:rPr>
          <w:t xml:space="preserve">our current report on Form 6-K furnished to the SEC on November </w:t>
        </w:r>
      </w:hyperlink>
      <w:hyperlink r:id="rId7">
        <w:r>
          <w:rPr>
            <w:rStyle w:val="InternetLink"/>
          </w:rPr>
          <w:t>18</w:t>
        </w:r>
      </w:hyperlink>
      <w:hyperlink r:id="rId8">
        <w:r>
          <w:rPr>
            <w:rStyle w:val="InternetLink"/>
          </w:rPr>
          <w:t>, 2021 (File No. 001-</w:t>
        </w:r>
      </w:hyperlink>
      <w:hyperlink r:id="rId9">
        <w:r>
          <w:rPr>
            <w:rStyle w:val="InternetLink"/>
          </w:rPr>
          <w:t>36397);</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largest"/>
                <wp:docPr id="111" name="Frame1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future reports on Form 6-K that we furnish to the SEC after the date of this prospectus that are identified in such reports as being incorporated by reference in this prospectus.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largest"/>
                <wp:docPr id="112" name="Frame1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 </w:t>
      </w:r>
    </w:p>
    <w:p>
      <w:pPr>
        <w:pStyle w:val="TextBody"/>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Weibo Corporation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8/F, QIHAO Plaza, No. 8 Xinyuan S. Road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Chaoyang District, Beijing 100027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People’s Republic of China</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+86 (10) 5898-3095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Investor Relations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8.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conduct amounting to willful default, willful neglect, fraud or dishonesty, for example, civil fraud or the consequences of committing a crime. Our articles of association provide for indemnification of officers and directors for losses, damages, costs and expenses incurred in their capacities as such, except through their own dishonesty, willful default or fraud.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indemnification agreements, the form of which has been filed as Exhibit 10.3 to our registration statement on F-1 (File No. 333-194589), filed on March 14, 2014, as amended, we agreed to indemnify our directors and officers against certain liabilities and expenses incurred by such persons in connection with claims made by reason of their being such a director or officer.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the form of which will be filed as Exhibit 1.1 to this registration statement, will also provide for indemnification of us and our officers and directors.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as amended (the “Securities Act”) may be permitted to directors, officers or persons controlling us pursuant to the foregoing provisions, we have been informed that in the opinion of the Securities and Exchange Commission (the “SEC”) such indemnification is against public policy as expressed in the Securities Act and is therefore unenforceable.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9.   Exhibits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exhibits to this registration statement are listed in the Index to Exhibits below.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10.   Undertakings.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99060" distB="0" distL="254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largest"/>
                <wp:docPr id="113" name="Frame11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99060" distB="0" distL="508000" distR="0" simplePos="0" locked="0" layoutInCell="1" allowOverlap="1" relativeHeight="122">
                <wp:simplePos x="0" y="0"/>
                <wp:positionH relativeFrom="column">
                  <wp:align>left</wp:align>
                </wp:positionH>
                <wp:positionV relativeFrom="line">
                  <wp:align>top</wp:align>
                </wp:positionV>
                <wp:extent cx="254000" cy="525780"/>
                <wp:effectExtent l="0" t="0" r="0" b="0"/>
                <wp:wrapSquare wrapText="largest"/>
                <wp:docPr id="114" name="Frame113"/>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w:t>
      </w:r>
      <w:r>
        <mc:AlternateContent>
          <mc:Choice Requires="wps">
            <w:drawing>
              <wp:anchor behindDoc="0" distT="99060" distB="0" distL="76200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largest"/>
                <wp:docPr id="115" name="Frame11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w:t>
      </w:r>
      <w:r>
        <mc:AlternateContent>
          <mc:Choice Requires="wps">
            <w:drawing>
              <wp:anchor behindDoc="0" distT="99060" distB="0" distL="762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largest"/>
                <wp:docPr id="116" name="Frame11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99060" distB="0" distL="762000" distR="0" simplePos="0" locked="0" layoutInCell="1" allowOverlap="1" relativeHeight="125">
                <wp:simplePos x="0" y="0"/>
                <wp:positionH relativeFrom="column">
                  <wp:align>left</wp:align>
                </wp:positionH>
                <wp:positionV relativeFrom="line">
                  <wp:align>top</wp:align>
                </wp:positionV>
                <wp:extent cx="254000" cy="525780"/>
                <wp:effectExtent l="0" t="0" r="0" b="0"/>
                <wp:wrapSquare wrapText="largest"/>
                <wp:docPr id="117" name="Frame116"/>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25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paragraphs (a)(1)(i), (a)(1)(ii) and (a)(1)(iii) of this item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registration statement, or is contained in a form of prospectus filed pursuant to Rule 424(b) that is part of the registration statement. </w:t>
      </w:r>
    </w:p>
    <w:p>
      <w:pPr>
        <w:pStyle w:val="TextBody"/>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2870" distB="0" distL="508000" distR="0" simplePos="0" locked="0" layoutInCell="1" allowOverlap="1" relativeHeight="126">
                <wp:simplePos x="0" y="0"/>
                <wp:positionH relativeFrom="column">
                  <wp:align>left</wp:align>
                </wp:positionH>
                <wp:positionV relativeFrom="line">
                  <wp:align>top</wp:align>
                </wp:positionV>
                <wp:extent cx="254000" cy="525780"/>
                <wp:effectExtent l="0" t="0" r="0" b="0"/>
                <wp:wrapSquare wrapText="largest"/>
                <wp:docPr id="118" name="Frame117"/>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2870" distB="0" distL="508000" distR="0" simplePos="0" locked="0" layoutInCell="1" allowOverlap="1" relativeHeight="127">
                <wp:simplePos x="0" y="0"/>
                <wp:positionH relativeFrom="column">
                  <wp:align>left</wp:align>
                </wp:positionH>
                <wp:positionV relativeFrom="line">
                  <wp:align>top</wp:align>
                </wp:positionV>
                <wp:extent cx="254000" cy="525780"/>
                <wp:effectExtent l="0" t="0" r="0" b="0"/>
                <wp:wrapSquare wrapText="largest"/>
                <wp:docPr id="119" name="Frame118"/>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 </w:t>
      </w:r>
      <w:r>
        <mc:AlternateContent>
          <mc:Choice Requires="wps">
            <w:drawing>
              <wp:anchor behindDoc="0" distT="102870" distB="0" distL="508000" distR="0" simplePos="0" locked="0" layoutInCell="1" allowOverlap="1" relativeHeight="128">
                <wp:simplePos x="0" y="0"/>
                <wp:positionH relativeFrom="column">
                  <wp:align>left</wp:align>
                </wp:positionH>
                <wp:positionV relativeFrom="line">
                  <wp:align>top</wp:align>
                </wp:positionV>
                <wp:extent cx="254000" cy="525780"/>
                <wp:effectExtent l="0" t="0" r="0" b="0"/>
                <wp:wrapSquare wrapText="largest"/>
                <wp:docPr id="120" name="Frame119"/>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w:t>
      </w:r>
      <w:r>
        <mc:AlternateContent>
          <mc:Choice Requires="wps">
            <w:drawing>
              <wp:anchor behindDoc="0" distT="101600" distB="0" distL="508000" distR="0" simplePos="0" locked="0" layoutInCell="1" allowOverlap="1" relativeHeight="129">
                <wp:simplePos x="0" y="0"/>
                <wp:positionH relativeFrom="column">
                  <wp:align>left</wp:align>
                </wp:positionH>
                <wp:positionV relativeFrom="line">
                  <wp:align>top</wp:align>
                </wp:positionV>
                <wp:extent cx="254000" cy="525780"/>
                <wp:effectExtent l="0" t="0" r="0" b="0"/>
                <wp:wrapSquare wrapText="largest"/>
                <wp:docPr id="121" name="Frame120"/>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101600" distB="0" distL="76200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largest"/>
                <wp:docPr id="122" name="Frame12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101600" distB="0" distL="76200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largest"/>
                <wp:docPr id="123" name="Frame12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to any purchaser in the initial distribution of the securities: </w:t>
      </w:r>
      <w:r>
        <mc:AlternateContent>
          <mc:Choice Requires="wps">
            <w:drawing>
              <wp:anchor behindDoc="0" distT="101600" distB="0" distL="508000" distR="0" simplePos="0" locked="0" layoutInCell="1" allowOverlap="1" relativeHeight="132">
                <wp:simplePos x="0" y="0"/>
                <wp:positionH relativeFrom="column">
                  <wp:align>left</wp:align>
                </wp:positionH>
                <wp:positionV relativeFrom="line">
                  <wp:align>top</wp:align>
                </wp:positionV>
                <wp:extent cx="254000" cy="525780"/>
                <wp:effectExtent l="0" t="0" r="0" b="0"/>
                <wp:wrapSquare wrapText="largest"/>
                <wp:docPr id="124" name="Frame123"/>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04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0" distB="0" distL="762000" distR="0" simplePos="0" locked="0" layoutInCell="1" allowOverlap="1" relativeHeight="133">
                <wp:simplePos x="0" y="0"/>
                <wp:positionH relativeFrom="column">
                  <wp:align>left</wp:align>
                </wp:positionH>
                <wp:positionV relativeFrom="line">
                  <wp:posOffset>635</wp:posOffset>
                </wp:positionV>
                <wp:extent cx="254000" cy="350520"/>
                <wp:effectExtent l="0" t="0" r="0" b="0"/>
                <wp:wrapSquare wrapText="largest"/>
                <wp:docPr id="125" name="Frame12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76200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largest"/>
                <wp:docPr id="126" name="Frame12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762000" distR="0" simplePos="0" locked="0" layoutInCell="1" allowOverlap="1" relativeHeight="135">
                <wp:simplePos x="0" y="0"/>
                <wp:positionH relativeFrom="column">
                  <wp:align>left</wp:align>
                </wp:positionH>
                <wp:positionV relativeFrom="line">
                  <wp:align>top</wp:align>
                </wp:positionV>
                <wp:extent cx="254000" cy="525780"/>
                <wp:effectExtent l="0" t="0" r="0" b="0"/>
                <wp:wrapSquare wrapText="largest"/>
                <wp:docPr id="127" name="Frame126"/>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762000" distR="0" simplePos="0" locked="0" layoutInCell="1" allowOverlap="1" relativeHeight="136">
                <wp:simplePos x="0" y="0"/>
                <wp:positionH relativeFrom="column">
                  <wp:align>left</wp:align>
                </wp:positionH>
                <wp:positionV relativeFrom="line">
                  <wp:align>top</wp:align>
                </wp:positionV>
                <wp:extent cx="254000" cy="525780"/>
                <wp:effectExtent l="0" t="0" r="0" b="0"/>
                <wp:wrapSquare wrapText="largest"/>
                <wp:docPr id="128" name="Frame127"/>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largest"/>
                <wp:docPr id="129" name="Frame12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mc:AlternateContent>
          <mc:Choice Requires="wps">
            <w:drawing>
              <wp:anchor behindDoc="0" distT="101600" distB="0" distL="25400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largest"/>
                <wp:docPr id="130" name="Frame12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6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43" w:type="dxa"/>
          <w:right w:w="0" w:type="dxa"/>
        </w:tblCellMar>
      </w:tblPr>
      <w:tblGrid>
        <w:gridCol w:w="897"/>
        <w:gridCol w:w="109"/>
        <w:gridCol w:w="109"/>
        <w:gridCol w:w="7542"/>
        <w:gridCol w:w="155"/>
      </w:tblGrid>
      <w:tr>
        <w:trPr/>
        <w:tc>
          <w:tcPr>
            <w:tcW w:w="897" w:type="dxa"/>
            <w:tcBorders>
              <w:bottom w:val="single" w:sz="2" w:space="0" w:color="000000"/>
            </w:tcBorders>
            <w:shd w:fill="auto" w:val="clear"/>
            <w:vAlign w:val="center"/>
          </w:tcPr>
          <w:p>
            <w:pPr>
              <w:pStyle w:val="TableContents"/>
              <w:spacing w:before="0" w:after="283"/>
              <w:rPr/>
            </w:pPr>
            <w:r>
              <w:rPr>
                <w:spacing w:val="-3"/>
              </w:rPr>
              <w:t>Exhibit </w:t>
            </w:r>
            <w:r>
              <w:rPr/>
              <w:t xml:space="preserve"> </w:t>
              <w:br/>
            </w:r>
            <w:r>
              <w:rPr>
                <w:spacing w:val="-3"/>
              </w:rPr>
              <w:t xml:space="preserve">Number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542" w:type="dxa"/>
            <w:tcBorders>
              <w:bottom w:val="single" w:sz="2" w:space="0" w:color="000000"/>
            </w:tcBorders>
            <w:shd w:fill="auto" w:val="clear"/>
            <w:vAlign w:val="center"/>
          </w:tcPr>
          <w:p>
            <w:pPr>
              <w:pStyle w:val="TableContents"/>
              <w:spacing w:before="0" w:after="0"/>
              <w:jc w:val="center"/>
              <w:rPr>
                <w:spacing w:val="-3"/>
              </w:rPr>
            </w:pPr>
            <w:r>
              <w:rPr>
                <w:spacing w:val="-3"/>
              </w:rPr>
              <w:t xml:space="preserve">Description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897" w:type="dxa"/>
            <w:tcBorders/>
            <w:shd w:fill="auto" w:val="clear"/>
            <w:tcMar>
              <w:bottom w:w="0" w:type="dxa"/>
            </w:tcMar>
            <w:vAlign w:val="center"/>
          </w:tcPr>
          <w:p>
            <w:pPr>
              <w:pStyle w:val="TableContents"/>
              <w:spacing w:before="0" w:after="283"/>
              <w:ind w:left="100" w:right="0" w:hanging="0"/>
              <w:rPr/>
            </w:pPr>
            <w:r>
              <w:rPr>
                <w:spacing w:val="4"/>
              </w:rPr>
              <w:t>1.1</w:t>
            </w:r>
            <w:r>
              <w:rPr>
                <w:spacing w:val="3"/>
                <w:sz w:val="13"/>
              </w:rPr>
              <w:t>*</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542" w:type="dxa"/>
            <w:tcBorders/>
            <w:shd w:fill="auto" w:val="clear"/>
            <w:tcMar>
              <w:bottom w:w="0" w:type="dxa"/>
            </w:tcMar>
            <w:vAlign w:val="center"/>
          </w:tcPr>
          <w:p>
            <w:pPr>
              <w:pStyle w:val="TableContents"/>
              <w:spacing w:before="0" w:after="283"/>
              <w:rPr/>
            </w:pPr>
            <w:r>
              <w:rPr>
                <w:spacing w:val="4"/>
              </w:rPr>
              <w:t>Form of Equity Securities Underwriting Agreement</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897" w:type="dxa"/>
            <w:tcBorders/>
            <w:shd w:fill="auto" w:val="clear"/>
            <w:tcMar>
              <w:bottom w:w="0" w:type="dxa"/>
            </w:tcMar>
            <w:vAlign w:val="center"/>
          </w:tcPr>
          <w:p>
            <w:pPr>
              <w:pStyle w:val="TableContents"/>
              <w:spacing w:before="0" w:after="283"/>
              <w:ind w:left="100" w:right="0" w:hanging="0"/>
              <w:rPr/>
            </w:pPr>
            <w:r>
              <w:rPr>
                <w:spacing w:val="4"/>
              </w:rPr>
              <w:t>4.1</w:t>
            </w:r>
            <w:r>
              <w:rPr>
                <w:spacing w:val="3"/>
                <w:sz w:val="13"/>
              </w:rPr>
              <w:t>*</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542" w:type="dxa"/>
            <w:tcBorders/>
            <w:shd w:fill="auto" w:val="clear"/>
            <w:tcMar>
              <w:bottom w:w="0" w:type="dxa"/>
            </w:tcMar>
            <w:vAlign w:val="center"/>
          </w:tcPr>
          <w:p>
            <w:pPr>
              <w:pStyle w:val="TableContents"/>
              <w:spacing w:before="0" w:after="283"/>
              <w:rPr>
                <w:spacing w:val="4"/>
              </w:rPr>
            </w:pPr>
            <w:r>
              <w:rPr>
                <w:spacing w:val="4"/>
              </w:rPr>
              <w:t xml:space="preserve">Registrant’s Form of Class A Ordinary Share Certificate </w:t>
            </w:r>
          </w:p>
        </w:tc>
        <w:tc>
          <w:tcPr>
            <w:tcW w:w="155" w:type="dxa"/>
            <w:tcBorders/>
            <w:shd w:fill="auto" w:val="clear"/>
            <w:tcMar>
              <w:bottom w:w="0" w:type="dxa"/>
            </w:tcMar>
            <w:vAlign w:val="center"/>
          </w:tcPr>
          <w:p>
            <w:pPr>
              <w:pStyle w:val="TableContents"/>
              <w:spacing w:before="0" w:after="283"/>
              <w:rPr/>
            </w:pPr>
            <w:r>
              <w:rPr/>
              <w:t>​</w:t>
            </w:r>
          </w:p>
        </w:tc>
      </w:tr>
      <w:tr>
        <w:trPr/>
        <w:tc>
          <w:tcPr>
            <w:tcW w:w="897" w:type="dxa"/>
            <w:tcBorders/>
            <w:shd w:fill="auto" w:val="clear"/>
            <w:tcMar>
              <w:bottom w:w="0" w:type="dxa"/>
            </w:tcMar>
            <w:vAlign w:val="center"/>
          </w:tcPr>
          <w:p>
            <w:pPr>
              <w:pStyle w:val="TableContents"/>
              <w:spacing w:before="0" w:after="283"/>
              <w:ind w:left="100" w:right="0" w:hanging="0"/>
              <w:rPr>
                <w:spacing w:val="4"/>
              </w:rPr>
            </w:pPr>
            <w:r>
              <w:rPr>
                <w:spacing w:val="4"/>
              </w:rPr>
              <w:t xml:space="preserve">4.2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542" w:type="dxa"/>
            <w:tcBorders/>
            <w:shd w:fill="auto" w:val="clear"/>
            <w:tcMar>
              <w:bottom w:w="0" w:type="dxa"/>
            </w:tcMar>
            <w:vAlign w:val="center"/>
          </w:tcPr>
          <w:p>
            <w:pPr>
              <w:pStyle w:val="TableContents"/>
              <w:spacing w:before="0" w:after="0"/>
              <w:rPr/>
            </w:pPr>
            <w:hyperlink r:id="rId10">
              <w:r>
                <w:rPr>
                  <w:rStyle w:val="InternetLink"/>
                  <w:spacing w:val="4"/>
                </w:rPr>
                <w:t>Registrant’s Specimen American Depositary Receipt (Included in Exhibit 4.3 hereto)</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897" w:type="dxa"/>
            <w:tcBorders/>
            <w:shd w:fill="auto" w:val="clear"/>
            <w:tcMar>
              <w:bottom w:w="0" w:type="dxa"/>
            </w:tcMar>
            <w:vAlign w:val="center"/>
          </w:tcPr>
          <w:p>
            <w:pPr>
              <w:pStyle w:val="TableContents"/>
              <w:spacing w:before="0" w:after="283"/>
              <w:ind w:left="100" w:right="0" w:hanging="0"/>
              <w:rPr>
                <w:spacing w:val="4"/>
              </w:rPr>
            </w:pPr>
            <w:r>
              <w:rPr>
                <w:spacing w:val="4"/>
              </w:rPr>
              <w:t xml:space="preserve">4.3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542" w:type="dxa"/>
            <w:tcBorders/>
            <w:shd w:fill="auto" w:val="clear"/>
            <w:tcMar>
              <w:bottom w:w="0" w:type="dxa"/>
            </w:tcMar>
            <w:vAlign w:val="center"/>
          </w:tcPr>
          <w:p>
            <w:pPr>
              <w:pStyle w:val="TableContents"/>
              <w:spacing w:before="0" w:after="283"/>
              <w:rPr/>
            </w:pPr>
            <w:hyperlink r:id="rId11">
              <w:r>
                <w:rPr>
                  <w:rStyle w:val="InternetLink"/>
                </w:rPr>
                <w:t xml:space="preserve">Amended and Restated Deposit Agreement, dated as of August 10, 2020, among the Company, the depositary and holder of the American Depositary Receipts (Filed as Exhibit 2.3 to the Company’s annual report on Form 20-F, filed on April 22, 2021, and incorporated herein by reference) </w:t>
              </w:r>
            </w:hyperlink>
          </w:p>
        </w:tc>
        <w:tc>
          <w:tcPr>
            <w:tcW w:w="155" w:type="dxa"/>
            <w:tcBorders/>
            <w:shd w:fill="auto" w:val="clear"/>
            <w:tcMar>
              <w:bottom w:w="0" w:type="dxa"/>
            </w:tcMar>
            <w:vAlign w:val="center"/>
          </w:tcPr>
          <w:p>
            <w:pPr>
              <w:pStyle w:val="TableContents"/>
              <w:spacing w:before="0" w:after="283"/>
              <w:rPr/>
            </w:pPr>
            <w:r>
              <w:rPr/>
              <w:t>​</w:t>
            </w:r>
          </w:p>
        </w:tc>
      </w:tr>
      <w:tr>
        <w:trPr/>
        <w:tc>
          <w:tcPr>
            <w:tcW w:w="897" w:type="dxa"/>
            <w:tcBorders/>
            <w:shd w:fill="auto" w:val="clear"/>
            <w:tcMar>
              <w:bottom w:w="0" w:type="dxa"/>
            </w:tcMar>
            <w:vAlign w:val="center"/>
          </w:tcPr>
          <w:p>
            <w:pPr>
              <w:pStyle w:val="TableContents"/>
              <w:spacing w:before="0" w:after="283"/>
              <w:ind w:left="100" w:right="0" w:hanging="0"/>
              <w:rPr>
                <w:spacing w:val="4"/>
              </w:rPr>
            </w:pPr>
            <w:r>
              <w:rPr>
                <w:spacing w:val="4"/>
              </w:rPr>
              <w:t xml:space="preserve">5.1**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542" w:type="dxa"/>
            <w:tcBorders/>
            <w:shd w:fill="auto" w:val="clear"/>
            <w:tcMar>
              <w:bottom w:w="0" w:type="dxa"/>
            </w:tcMar>
            <w:vAlign w:val="center"/>
          </w:tcPr>
          <w:p>
            <w:pPr>
              <w:pStyle w:val="TableContents"/>
              <w:spacing w:before="0" w:after="0"/>
              <w:rPr/>
            </w:pPr>
            <w:hyperlink w:anchor="tm2132392d3_ex5-1.htm">
              <w:r>
                <w:rPr>
                  <w:rStyle w:val="InternetLink"/>
                  <w:spacing w:val="4"/>
                </w:rPr>
                <w:t>Opinion of Maples and Calder (Hong Kong) LLP regarding the validity of the ordinary shares being registered</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897" w:type="dxa"/>
            <w:tcBorders/>
            <w:shd w:fill="auto" w:val="clear"/>
            <w:tcMar>
              <w:bottom w:w="0" w:type="dxa"/>
            </w:tcMar>
            <w:vAlign w:val="center"/>
          </w:tcPr>
          <w:p>
            <w:pPr>
              <w:pStyle w:val="TableContents"/>
              <w:spacing w:before="0" w:after="283"/>
              <w:ind w:left="100" w:right="0" w:hanging="0"/>
              <w:rPr>
                <w:spacing w:val="4"/>
              </w:rPr>
            </w:pPr>
            <w:r>
              <w:rPr>
                <w:spacing w:val="4"/>
              </w:rPr>
              <w:t xml:space="preserve">8.1**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542" w:type="dxa"/>
            <w:tcBorders/>
            <w:shd w:fill="auto" w:val="clear"/>
            <w:tcMar>
              <w:bottom w:w="0" w:type="dxa"/>
            </w:tcMar>
            <w:vAlign w:val="center"/>
          </w:tcPr>
          <w:p>
            <w:pPr>
              <w:pStyle w:val="TableContents"/>
              <w:spacing w:before="0" w:after="0"/>
              <w:rPr/>
            </w:pPr>
            <w:hyperlink w:anchor="tm2132392d3_ex5-1.htm">
              <w:r>
                <w:rPr>
                  <w:rStyle w:val="InternetLink"/>
                  <w:spacing w:val="4"/>
                </w:rPr>
                <w:t>Opinion of Maples and Calder (Hong Kong) LLP regarding certain Cayman Islands tax matters (included in Exhibit 5.1)</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897" w:type="dxa"/>
            <w:tcBorders/>
            <w:shd w:fill="auto" w:val="clear"/>
            <w:tcMar>
              <w:bottom w:w="0" w:type="dxa"/>
            </w:tcMar>
            <w:vAlign w:val="center"/>
          </w:tcPr>
          <w:p>
            <w:pPr>
              <w:pStyle w:val="TableContents"/>
              <w:spacing w:before="0" w:after="283"/>
              <w:ind w:left="100" w:right="0" w:hanging="0"/>
              <w:rPr>
                <w:spacing w:val="4"/>
              </w:rPr>
            </w:pPr>
            <w:r>
              <w:rPr>
                <w:spacing w:val="4"/>
              </w:rPr>
              <w:t xml:space="preserve">8.2**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542" w:type="dxa"/>
            <w:tcBorders/>
            <w:shd w:fill="auto" w:val="clear"/>
            <w:tcMar>
              <w:bottom w:w="0" w:type="dxa"/>
            </w:tcMar>
            <w:vAlign w:val="center"/>
          </w:tcPr>
          <w:p>
            <w:pPr>
              <w:pStyle w:val="TableContents"/>
              <w:spacing w:before="0" w:after="0"/>
              <w:rPr/>
            </w:pPr>
            <w:hyperlink w:anchor="tm2132392d3_ex8-2.htm">
              <w:r>
                <w:rPr>
                  <w:rStyle w:val="InternetLink"/>
                  <w:spacing w:val="4"/>
                </w:rPr>
                <w:t>Opinion of TransAsia Lawyers regarding certain PRC law matters</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897" w:type="dxa"/>
            <w:tcBorders/>
            <w:shd w:fill="auto" w:val="clear"/>
            <w:tcMar>
              <w:bottom w:w="0" w:type="dxa"/>
            </w:tcMar>
            <w:vAlign w:val="center"/>
          </w:tcPr>
          <w:p>
            <w:pPr>
              <w:pStyle w:val="TableContents"/>
              <w:spacing w:before="0" w:after="283"/>
              <w:rPr>
                <w:spacing w:val="4"/>
              </w:rPr>
            </w:pPr>
            <w:r>
              <w:rPr>
                <w:spacing w:val="4"/>
              </w:rPr>
              <w:t xml:space="preserve">23.1**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542" w:type="dxa"/>
            <w:tcBorders/>
            <w:shd w:fill="auto" w:val="clear"/>
            <w:tcMar>
              <w:bottom w:w="0" w:type="dxa"/>
            </w:tcMar>
            <w:vAlign w:val="center"/>
          </w:tcPr>
          <w:p>
            <w:pPr>
              <w:pStyle w:val="TableContents"/>
              <w:spacing w:before="0" w:after="0"/>
              <w:rPr/>
            </w:pPr>
            <w:hyperlink w:anchor="tm2132392d3_ex23-1.htm">
              <w:r>
                <w:rPr>
                  <w:rStyle w:val="InternetLink"/>
                  <w:spacing w:val="4"/>
                </w:rPr>
                <w:t>Consent of PricewaterhouseCoopers Zhong Tian LLP, an independent registered public accounting firm</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897" w:type="dxa"/>
            <w:tcBorders/>
            <w:shd w:fill="auto" w:val="clear"/>
            <w:tcMar>
              <w:bottom w:w="0" w:type="dxa"/>
            </w:tcMar>
            <w:vAlign w:val="center"/>
          </w:tcPr>
          <w:p>
            <w:pPr>
              <w:pStyle w:val="TableContents"/>
              <w:spacing w:before="0" w:after="283"/>
              <w:rPr>
                <w:spacing w:val="4"/>
              </w:rPr>
            </w:pPr>
            <w:r>
              <w:rPr>
                <w:spacing w:val="4"/>
              </w:rPr>
              <w:t xml:space="preserve">23.2**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542" w:type="dxa"/>
            <w:tcBorders/>
            <w:shd w:fill="auto" w:val="clear"/>
            <w:tcMar>
              <w:bottom w:w="0" w:type="dxa"/>
            </w:tcMar>
            <w:vAlign w:val="center"/>
          </w:tcPr>
          <w:p>
            <w:pPr>
              <w:pStyle w:val="TableContents"/>
              <w:spacing w:before="0" w:after="0"/>
              <w:rPr/>
            </w:pPr>
            <w:hyperlink w:anchor="tm2132392d3_ex5-1.htm">
              <w:r>
                <w:rPr>
                  <w:rStyle w:val="InternetLink"/>
                  <w:spacing w:val="4"/>
                </w:rPr>
                <w:t>Consent of Maples and Calder (Hong Kong) LLP (included in Exhibit 5.1)</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897" w:type="dxa"/>
            <w:tcBorders/>
            <w:shd w:fill="auto" w:val="clear"/>
            <w:tcMar>
              <w:bottom w:w="0" w:type="dxa"/>
            </w:tcMar>
            <w:vAlign w:val="center"/>
          </w:tcPr>
          <w:p>
            <w:pPr>
              <w:pStyle w:val="TableContents"/>
              <w:spacing w:before="0" w:after="283"/>
              <w:rPr>
                <w:spacing w:val="4"/>
              </w:rPr>
            </w:pPr>
            <w:r>
              <w:rPr>
                <w:spacing w:val="4"/>
              </w:rPr>
              <w:t xml:space="preserve">23.3**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542" w:type="dxa"/>
            <w:tcBorders/>
            <w:shd w:fill="auto" w:val="clear"/>
            <w:tcMar>
              <w:bottom w:w="0" w:type="dxa"/>
            </w:tcMar>
            <w:vAlign w:val="center"/>
          </w:tcPr>
          <w:p>
            <w:pPr>
              <w:pStyle w:val="TableContents"/>
              <w:spacing w:before="0" w:after="0"/>
              <w:rPr/>
            </w:pPr>
            <w:hyperlink w:anchor="tm2132392d3_ex8-2.htm">
              <w:r>
                <w:rPr>
                  <w:rStyle w:val="InternetLink"/>
                  <w:spacing w:val="4"/>
                </w:rPr>
                <w:t>Consent of TransAsia Lawyers (included in Exhibit 8.2)</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897" w:type="dxa"/>
            <w:tcBorders/>
            <w:shd w:fill="auto" w:val="clear"/>
            <w:tcMar>
              <w:bottom w:w="0" w:type="dxa"/>
            </w:tcMar>
            <w:vAlign w:val="center"/>
          </w:tcPr>
          <w:p>
            <w:pPr>
              <w:pStyle w:val="TableContents"/>
              <w:spacing w:before="0" w:after="283"/>
              <w:rPr>
                <w:spacing w:val="4"/>
              </w:rPr>
            </w:pPr>
            <w:r>
              <w:rPr>
                <w:spacing w:val="4"/>
              </w:rPr>
              <w:t xml:space="preserve">23.4**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542" w:type="dxa"/>
            <w:tcBorders/>
            <w:shd w:fill="auto" w:val="clear"/>
            <w:tcMar>
              <w:bottom w:w="0" w:type="dxa"/>
            </w:tcMar>
            <w:vAlign w:val="center"/>
          </w:tcPr>
          <w:p>
            <w:pPr>
              <w:pStyle w:val="TableContents"/>
              <w:spacing w:before="0" w:after="0"/>
              <w:rPr/>
            </w:pPr>
            <w:hyperlink w:anchor="tm2132392d3_ex23-4.htm">
              <w:r>
                <w:rPr>
                  <w:rStyle w:val="InternetLink"/>
                  <w:spacing w:val="4"/>
                </w:rPr>
                <w:t>Consent of China Insights Consultancy</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897" w:type="dxa"/>
            <w:tcBorders/>
            <w:shd w:fill="auto" w:val="clear"/>
            <w:tcMar>
              <w:bottom w:w="0" w:type="dxa"/>
            </w:tcMar>
            <w:vAlign w:val="center"/>
          </w:tcPr>
          <w:p>
            <w:pPr>
              <w:pStyle w:val="TableContents"/>
              <w:spacing w:before="0" w:after="283"/>
              <w:rPr>
                <w:spacing w:val="4"/>
              </w:rPr>
            </w:pPr>
            <w:r>
              <w:rPr>
                <w:spacing w:val="4"/>
              </w:rPr>
              <w:t xml:space="preserve">24.1**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542" w:type="dxa"/>
            <w:tcBorders/>
            <w:shd w:fill="auto" w:val="clear"/>
            <w:tcMar>
              <w:bottom w:w="0" w:type="dxa"/>
            </w:tcMar>
            <w:vAlign w:val="center"/>
          </w:tcPr>
          <w:p>
            <w:pPr>
              <w:pStyle w:val="TableContents"/>
              <w:spacing w:before="0" w:after="0"/>
              <w:rPr/>
            </w:pPr>
            <w:hyperlink w:anchor="tSIG">
              <w:r>
                <w:rPr>
                  <w:rStyle w:val="InternetLink"/>
                  <w:spacing w:val="4"/>
                </w:rPr>
                <w:t>Power of attorney (included on signature page hereof)</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1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To be filed as an exhibit to a post-effective amendment to this registration statement or as an exhibit to a report filed under the Securities Exchange Act of 1934 and incorporated herein by reference. </w:t>
      </w:r>
      <w:r>
        <mc:AlternateContent>
          <mc:Choice Requires="wps">
            <w:drawing>
              <wp:anchor behindDoc="0" distT="101600" distB="0" distL="0" distR="0" simplePos="0" locked="0" layoutInCell="1" allowOverlap="1" relativeHeight="139">
                <wp:simplePos x="0" y="0"/>
                <wp:positionH relativeFrom="column">
                  <wp:align>left</wp:align>
                </wp:positionH>
                <wp:positionV relativeFrom="line">
                  <wp:align>top</wp:align>
                </wp:positionV>
                <wp:extent cx="254000" cy="233680"/>
                <wp:effectExtent l="0" t="0" r="0" b="0"/>
                <wp:wrapSquare wrapText="largest"/>
                <wp:docPr id="131" name="Frame130"/>
                <a:graphic xmlns:a="http://schemas.openxmlformats.org/drawingml/2006/main">
                  <a:graphicData uri="http://schemas.microsoft.com/office/word/2010/wordprocessingShape">
                    <wps:wsp>
                      <wps:cNvSpPr txBox="1"/>
                      <wps:spPr>
                        <a:xfrm>
                          <a:off x="0" y="0"/>
                          <a:ext cx="254000" cy="233680"/>
                        </a:xfrm>
                        <a:prstGeom prst="rect"/>
                      </wps:spPr>
                      <wps:txbx>
                        <w:txbxContent>
                          <w:p>
                            <w:pPr>
                              <w:pStyle w:val="TextBody"/>
                              <w:spacing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80" w:after="0"/>
        <w:ind w:left="1793"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Filed with this registration statement on Form F-3.</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50800" distB="0" distL="0" distR="0" simplePos="0" locked="0" layoutInCell="1" allowOverlap="1" relativeHeight="140">
                <wp:simplePos x="0" y="0"/>
                <wp:positionH relativeFrom="column">
                  <wp:align>left</wp:align>
                </wp:positionH>
                <wp:positionV relativeFrom="line">
                  <wp:align>top</wp:align>
                </wp:positionV>
                <wp:extent cx="254000" cy="254000"/>
                <wp:effectExtent l="0" t="0" r="0" b="0"/>
                <wp:wrapSquare wrapText="largest"/>
                <wp:docPr id="132" name="Frame131"/>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Beijing, People’s Republic of China, on November 26, 2021. </w:t>
      </w:r>
    </w:p>
    <w:p>
      <w:pPr>
        <w:pStyle w:val="TextBody"/>
        <w:spacing w:lineRule="atLeast" w:line="240" w:before="240" w:after="283"/>
        <w:ind w:left="61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Weibo Corporation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Gaofei Wang</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3048000" distR="0" simplePos="0" locked="0" layoutInCell="1" allowOverlap="1" relativeHeight="141">
                <wp:simplePos x="0" y="0"/>
                <wp:positionH relativeFrom="column">
                  <wp:align>left</wp:align>
                </wp:positionH>
                <wp:positionV relativeFrom="line">
                  <wp:align>top</wp:align>
                </wp:positionV>
                <wp:extent cx="254000" cy="525780"/>
                <wp:effectExtent l="0" t="0" r="0" b="0"/>
                <wp:wrapSquare wrapText="largest"/>
                <wp:docPr id="133" name="Frame132"/>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283"/>
        <w:ind w:left="65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ind w:left="65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Gaofei Wang</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Title:    Chief Executive Officer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SIG"/>
      <w:bookmarkEnd w:id="1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PERSONS BY THESE PRESENTS, that each person whose signature appears below constitutes and appoints, severally and not jointly, each of Gaofei Wang and Fei Cao as his or her true and lawful attorney-in-fact and agent,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 hereby ratifying and confirming all that said attorney-in-fact and agent, or its substitute or substitutes, may lawfully do or cause to be done by virtue hereof.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this registration statement has been signed by the following persons in the capacities set forth below on November 26, 2021. </w:t>
      </w:r>
    </w:p>
    <w:tbl>
      <w:tblPr>
        <w:tblW w:w="7519" w:type="dxa"/>
        <w:jc w:val="left"/>
        <w:tblInd w:w="1393" w:type="dxa"/>
        <w:tblCellMar>
          <w:top w:w="0" w:type="dxa"/>
          <w:left w:w="0" w:type="dxa"/>
          <w:bottom w:w="28" w:type="dxa"/>
          <w:right w:w="0" w:type="dxa"/>
        </w:tblCellMar>
      </w:tblPr>
      <w:tblGrid>
        <w:gridCol w:w="124"/>
        <w:gridCol w:w="2491"/>
        <w:gridCol w:w="109"/>
        <w:gridCol w:w="109"/>
        <w:gridCol w:w="4532"/>
        <w:gridCol w:w="154"/>
      </w:tblGrid>
      <w:tr>
        <w:trPr/>
        <w:tc>
          <w:tcPr>
            <w:tcW w:w="124" w:type="dxa"/>
            <w:tcBorders>
              <w:bottom w:val="single" w:sz="2" w:space="0" w:color="FFFFFF"/>
            </w:tcBorders>
            <w:shd w:fill="auto" w:val="clear"/>
            <w:vAlign w:val="center"/>
          </w:tcPr>
          <w:p>
            <w:pPr>
              <w:pStyle w:val="TableContents"/>
              <w:spacing w:before="0" w:after="283"/>
              <w:rPr/>
            </w:pPr>
            <w:r>
              <w:rPr/>
              <w:t>​</w:t>
            </w:r>
          </w:p>
        </w:tc>
        <w:tc>
          <w:tcPr>
            <w:tcW w:w="2491"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Signature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532"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Title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491" w:type="dxa"/>
            <w:tcBorders/>
            <w:shd w:fill="auto" w:val="clear"/>
            <w:tcMar>
              <w:bottom w:w="0" w:type="dxa"/>
            </w:tcMar>
            <w:vAlign w:val="center"/>
          </w:tcPr>
          <w:p>
            <w:pPr>
              <w:pStyle w:val="TableContents"/>
              <w:spacing w:before="0" w:after="0"/>
              <w:jc w:val="center"/>
              <w:rPr/>
            </w:pPr>
            <w:r>
              <w:rPr>
                <w:spacing w:val="4"/>
              </w:rPr>
              <w:t>/s/ Charles Chao</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Charles Chao   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32" w:type="dxa"/>
            <w:tcBorders/>
            <w:shd w:fill="auto" w:val="clear"/>
            <w:tcMar>
              <w:bottom w:w="0" w:type="dxa"/>
            </w:tcMar>
            <w:vAlign w:val="center"/>
          </w:tcPr>
          <w:p>
            <w:pPr>
              <w:pStyle w:val="TableContents"/>
              <w:spacing w:before="0" w:after="0"/>
              <w:jc w:val="center"/>
              <w:rPr>
                <w:spacing w:val="4"/>
              </w:rPr>
            </w:pPr>
            <w:r>
              <w:rPr>
                <w:spacing w:val="4"/>
              </w:rPr>
              <w:t xml:space="preserve">Chairman of the Board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491" w:type="dxa"/>
            <w:tcBorders/>
            <w:shd w:fill="auto" w:val="clear"/>
            <w:tcMar>
              <w:bottom w:w="0" w:type="dxa"/>
            </w:tcMar>
            <w:vAlign w:val="center"/>
          </w:tcPr>
          <w:p>
            <w:pPr>
              <w:pStyle w:val="TableContents"/>
              <w:spacing w:before="0" w:after="0"/>
              <w:jc w:val="center"/>
              <w:rPr/>
            </w:pPr>
            <w:r>
              <w:rPr>
                <w:spacing w:val="4"/>
              </w:rPr>
              <w:t>/s/ Hong Du</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Hong Du   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32" w:type="dxa"/>
            <w:tcBorders/>
            <w:shd w:fill="auto" w:val="clear"/>
            <w:tcMar>
              <w:bottom w:w="0" w:type="dxa"/>
            </w:tcMar>
            <w:vAlign w:val="center"/>
          </w:tcPr>
          <w:p>
            <w:pPr>
              <w:pStyle w:val="TableContents"/>
              <w:spacing w:before="0" w:after="0"/>
              <w:jc w:val="center"/>
              <w:rPr>
                <w:spacing w:val="4"/>
              </w:rPr>
            </w:pPr>
            <w:r>
              <w:rPr>
                <w:spacing w:val="4"/>
              </w:rPr>
              <w:t xml:space="preserve">Director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491" w:type="dxa"/>
            <w:tcBorders/>
            <w:shd w:fill="auto" w:val="clear"/>
            <w:tcMar>
              <w:bottom w:w="0" w:type="dxa"/>
            </w:tcMar>
            <w:vAlign w:val="center"/>
          </w:tcPr>
          <w:p>
            <w:pPr>
              <w:pStyle w:val="TableContents"/>
              <w:spacing w:before="0" w:after="0"/>
              <w:jc w:val="center"/>
              <w:rPr/>
            </w:pPr>
            <w:r>
              <w:rPr>
                <w:spacing w:val="4"/>
              </w:rPr>
              <w:t>/s/ Daniel Yong Zhang</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Daniel Yong Zhang   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32" w:type="dxa"/>
            <w:tcBorders/>
            <w:shd w:fill="auto" w:val="clear"/>
            <w:tcMar>
              <w:bottom w:w="0" w:type="dxa"/>
            </w:tcMar>
            <w:vAlign w:val="center"/>
          </w:tcPr>
          <w:p>
            <w:pPr>
              <w:pStyle w:val="TableContents"/>
              <w:spacing w:before="0" w:after="0"/>
              <w:jc w:val="center"/>
              <w:rPr>
                <w:spacing w:val="4"/>
              </w:rPr>
            </w:pPr>
            <w:r>
              <w:rPr>
                <w:spacing w:val="4"/>
              </w:rPr>
              <w:t xml:space="preserve">Director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491" w:type="dxa"/>
            <w:tcBorders/>
            <w:shd w:fill="auto" w:val="clear"/>
            <w:tcMar>
              <w:bottom w:w="0" w:type="dxa"/>
            </w:tcMar>
            <w:vAlign w:val="center"/>
          </w:tcPr>
          <w:p>
            <w:pPr>
              <w:pStyle w:val="TableContents"/>
              <w:spacing w:before="0" w:after="0"/>
              <w:jc w:val="center"/>
              <w:rPr/>
            </w:pPr>
            <w:r>
              <w:rPr>
                <w:spacing w:val="4"/>
              </w:rPr>
              <w:t>/s/ Gaofei Wang</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Gaofei Wang   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32" w:type="dxa"/>
            <w:tcBorders/>
            <w:shd w:fill="auto" w:val="clear"/>
            <w:tcMar>
              <w:bottom w:w="0" w:type="dxa"/>
            </w:tcMar>
            <w:vAlign w:val="center"/>
          </w:tcPr>
          <w:p>
            <w:pPr>
              <w:pStyle w:val="TableContents"/>
              <w:spacing w:before="0" w:after="0"/>
              <w:jc w:val="center"/>
              <w:rPr/>
            </w:pPr>
            <w:r>
              <w:rPr>
                <w:spacing w:val="4"/>
              </w:rPr>
              <w:t>Director and Chief Executive Officer</w:t>
            </w:r>
            <w:r>
              <w:rPr/>
              <w:t xml:space="preserve"> </w:t>
              <w:br/>
            </w:r>
            <w:r>
              <w:rPr>
                <w:spacing w:val="4"/>
              </w:rPr>
              <w:t xml:space="preserve">(Principal Executive Officer)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491" w:type="dxa"/>
            <w:tcBorders/>
            <w:shd w:fill="auto" w:val="clear"/>
            <w:tcMar>
              <w:bottom w:w="0" w:type="dxa"/>
            </w:tcMar>
            <w:vAlign w:val="center"/>
          </w:tcPr>
          <w:p>
            <w:pPr>
              <w:pStyle w:val="TableContents"/>
              <w:spacing w:before="0" w:after="0"/>
              <w:jc w:val="center"/>
              <w:rPr/>
            </w:pPr>
            <w:r>
              <w:rPr>
                <w:spacing w:val="4"/>
              </w:rPr>
              <w:t>/s/ Pehong Chen</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Pehong Chen   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32" w:type="dxa"/>
            <w:tcBorders/>
            <w:shd w:fill="auto" w:val="clear"/>
            <w:tcMar>
              <w:bottom w:w="0" w:type="dxa"/>
            </w:tcMar>
            <w:vAlign w:val="center"/>
          </w:tcPr>
          <w:p>
            <w:pPr>
              <w:pStyle w:val="TableContents"/>
              <w:spacing w:before="0" w:after="0"/>
              <w:jc w:val="center"/>
              <w:rPr>
                <w:spacing w:val="4"/>
              </w:rPr>
            </w:pPr>
            <w:r>
              <w:rPr>
                <w:spacing w:val="4"/>
              </w:rPr>
              <w:t xml:space="preserve">Director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491" w:type="dxa"/>
            <w:tcBorders/>
            <w:shd w:fill="auto" w:val="clear"/>
            <w:tcMar>
              <w:bottom w:w="0" w:type="dxa"/>
            </w:tcMar>
            <w:vAlign w:val="center"/>
          </w:tcPr>
          <w:p>
            <w:pPr>
              <w:pStyle w:val="TableContents"/>
              <w:spacing w:before="0" w:after="0"/>
              <w:jc w:val="center"/>
              <w:rPr/>
            </w:pPr>
            <w:r>
              <w:rPr>
                <w:spacing w:val="4"/>
              </w:rPr>
              <w:t>/s/ P Christopher Lu</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P Christopher Lu   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32" w:type="dxa"/>
            <w:tcBorders/>
            <w:shd w:fill="auto" w:val="clear"/>
            <w:tcMar>
              <w:bottom w:w="0" w:type="dxa"/>
            </w:tcMar>
            <w:vAlign w:val="center"/>
          </w:tcPr>
          <w:p>
            <w:pPr>
              <w:pStyle w:val="TableContents"/>
              <w:spacing w:before="0" w:after="0"/>
              <w:jc w:val="center"/>
              <w:rPr>
                <w:spacing w:val="4"/>
              </w:rPr>
            </w:pPr>
            <w:r>
              <w:rPr>
                <w:spacing w:val="4"/>
              </w:rPr>
              <w:t xml:space="preserve">Director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491" w:type="dxa"/>
            <w:tcBorders/>
            <w:shd w:fill="auto" w:val="clear"/>
            <w:tcMar>
              <w:bottom w:w="0" w:type="dxa"/>
            </w:tcMar>
            <w:vAlign w:val="center"/>
          </w:tcPr>
          <w:p>
            <w:pPr>
              <w:pStyle w:val="TableContents"/>
              <w:spacing w:before="0" w:after="0"/>
              <w:jc w:val="center"/>
              <w:rPr/>
            </w:pPr>
            <w:r>
              <w:rPr>
                <w:spacing w:val="4"/>
              </w:rPr>
              <w:t>/s/ Yan Wang</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Yan Wang   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32" w:type="dxa"/>
            <w:tcBorders/>
            <w:shd w:fill="auto" w:val="clear"/>
            <w:tcMar>
              <w:bottom w:w="0" w:type="dxa"/>
            </w:tcMar>
            <w:vAlign w:val="center"/>
          </w:tcPr>
          <w:p>
            <w:pPr>
              <w:pStyle w:val="TableContents"/>
              <w:spacing w:before="0" w:after="0"/>
              <w:jc w:val="center"/>
              <w:rPr>
                <w:spacing w:val="4"/>
              </w:rPr>
            </w:pPr>
            <w:r>
              <w:rPr>
                <w:spacing w:val="4"/>
              </w:rPr>
              <w:t xml:space="preserve">Director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491" w:type="dxa"/>
            <w:tcBorders/>
            <w:shd w:fill="auto" w:val="clear"/>
            <w:tcMar>
              <w:bottom w:w="0" w:type="dxa"/>
            </w:tcMar>
            <w:vAlign w:val="center"/>
          </w:tcPr>
          <w:p>
            <w:pPr>
              <w:pStyle w:val="TableContents"/>
              <w:spacing w:before="0" w:after="0"/>
              <w:jc w:val="center"/>
              <w:rPr/>
            </w:pPr>
            <w:r>
              <w:rPr>
                <w:spacing w:val="4"/>
              </w:rPr>
              <w:t>/s/ Fei Cao</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Fei Cao   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32" w:type="dxa"/>
            <w:tcBorders/>
            <w:shd w:fill="auto" w:val="clear"/>
            <w:tcMar>
              <w:bottom w:w="0" w:type="dxa"/>
            </w:tcMar>
            <w:vAlign w:val="center"/>
          </w:tcPr>
          <w:p>
            <w:pPr>
              <w:pStyle w:val="TableContents"/>
              <w:spacing w:before="0" w:after="0"/>
              <w:jc w:val="center"/>
              <w:rPr/>
            </w:pPr>
            <w:r>
              <w:rPr>
                <w:spacing w:val="4"/>
              </w:rPr>
              <w:t>Chief Financial Officer</w:t>
            </w:r>
            <w:r>
              <w:rPr/>
              <w:t xml:space="preserve"> </w:t>
              <w:br/>
            </w:r>
            <w:r>
              <w:rPr>
                <w:spacing w:val="4"/>
              </w:rPr>
              <w:t>(Principal Financial and Accounting Officer)</w:t>
            </w:r>
            <w:r>
              <w:rPr/>
              <w:t xml:space="preserve"> </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 OF AUTHORIZED REPRESENTATIVE OF THE REGISTRANT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Securities Act of 1933, the undersigned, the duly authorized representative in the United States of Weibo Corporation has signed this registration statement or amendment thereto in New York, New York on Novemeber 26, 2021. </w:t>
      </w:r>
    </w:p>
    <w:p>
      <w:pPr>
        <w:pStyle w:val="TextBody"/>
        <w:spacing w:lineRule="atLeast" w:line="240" w:before="160" w:after="283"/>
        <w:ind w:left="1393" w:right="0" w:firstLine="4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U.S. Representative - Cogency Global Inc. </w:t>
      </w:r>
    </w:p>
    <w:p>
      <w:pPr>
        <w:pStyle w:val="TextBody"/>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Colleen A. De Vries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142">
                <wp:simplePos x="0" y="0"/>
                <wp:positionH relativeFrom="column">
                  <wp:align>left</wp:align>
                </wp:positionH>
                <wp:positionV relativeFrom="line">
                  <wp:align>top</wp:align>
                </wp:positionV>
                <wp:extent cx="254000" cy="525780"/>
                <wp:effectExtent l="0" t="0" r="0" b="0"/>
                <wp:wrapSquare wrapText="largest"/>
                <wp:docPr id="134" name="Frame133"/>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283"/>
        <w:ind w:left="61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ind w:left="6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 Colleen A. De Vries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Senior Vice President on behalf of           Cogency Global Inc.</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rPr/>
      </w:pPr>
      <w:r>
        <w:rPr/>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19" w:name="tm2132392d3_ex5-1.htm"/>
      <w:bookmarkStart w:id="20" w:name="kstm2132392d3_ex51"/>
      <w:bookmarkEnd w:id="19"/>
      <w:bookmarkEnd w:id="20"/>
      <w:r>
        <w:rPr>
          <w:rFonts w:ascii="Times New Roman;Times;Serif" w:hAnsi="Times New Roman;Times;Serif"/>
          <w:b/>
          <w:i w:val="false"/>
          <w:caps w:val="false"/>
          <w:smallCaps w:val="false"/>
          <w:sz w:val="20"/>
        </w:rPr>
        <w:t>Exhibit 5.1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Our ref</w:t>
      </w:r>
      <w:r>
        <w:rPr>
          <w:rFonts w:ascii="Times New Roman;Times;Serif" w:hAnsi="Times New Roman;Times;Serif"/>
          <w:b w:val="false"/>
          <w:i w:val="false"/>
          <w:caps w:val="false"/>
          <w:smallCaps w:val="false"/>
          <w:sz w:val="20"/>
        </w:rPr>
        <w:t>             YCU/688185-000004/20859059v2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Weibo Corporation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8/F, Qihao Plaza</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8 Xinyuan S. Road</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Chaoying District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F4 100027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November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Weibo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Cayman Islands legal advisers to Weibo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F-3,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under the U.S. Securities Act of 1933, as amended to date relating to the offering by the Company of certain of the Company's class A ordinary shares of par value US$0.00025 each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8.1 and 23.2 to the Registration Statement.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61"/>
        <w:gridCol w:w="594"/>
        <w:gridCol w:w="9450"/>
      </w:tblGrid>
      <w:tr>
        <w:trPr/>
        <w:tc>
          <w:tcPr>
            <w:tcW w:w="16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b/>
              </w:rPr>
            </w:pPr>
            <w:r>
              <w:rPr>
                <w:b/>
              </w:rPr>
              <w:t>1</w:t>
            </w:r>
          </w:p>
        </w:tc>
        <w:tc>
          <w:tcPr>
            <w:tcW w:w="9450" w:type="dxa"/>
            <w:tcBorders/>
            <w:shd w:fill="auto" w:val="clear"/>
            <w:vAlign w:val="center"/>
          </w:tcPr>
          <w:p>
            <w:pPr>
              <w:pStyle w:val="TableContents"/>
              <w:spacing w:before="0" w:after="283"/>
              <w:jc w:val="both"/>
              <w:rPr>
                <w:b/>
              </w:rPr>
            </w:pPr>
            <w:r>
              <w:rPr>
                <w:b/>
              </w:rPr>
              <w:t>Documents Reviewed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reviewed only originals, copies or final drafts of the following documents: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1.1</w:t>
            </w:r>
          </w:p>
        </w:tc>
        <w:tc>
          <w:tcPr>
            <w:tcW w:w="9848" w:type="dxa"/>
            <w:tcBorders/>
            <w:shd w:fill="auto" w:val="clear"/>
            <w:vAlign w:val="center"/>
          </w:tcPr>
          <w:p>
            <w:pPr>
              <w:pStyle w:val="TableContents"/>
              <w:spacing w:before="0" w:after="283"/>
              <w:jc w:val="both"/>
              <w:rPr/>
            </w:pPr>
            <w:r>
              <w:rPr/>
              <w:t>The certificate of incorporation of the Company dated 7 June 2010 and certificate of incorporation on change of name of the Company dated 6 July 2012 issued by the Registrar of Companies in the Cayman Islands.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1.2</w:t>
            </w:r>
          </w:p>
        </w:tc>
        <w:tc>
          <w:tcPr>
            <w:tcW w:w="9848" w:type="dxa"/>
            <w:tcBorders/>
            <w:shd w:fill="auto" w:val="clear"/>
            <w:vAlign w:val="center"/>
          </w:tcPr>
          <w:p>
            <w:pPr>
              <w:pStyle w:val="TableContents"/>
              <w:spacing w:before="0" w:after="283"/>
              <w:jc w:val="both"/>
              <w:rPr/>
            </w:pPr>
            <w:r>
              <w:rPr/>
              <w:t>The second amended and restated memorandum and articles of association of the Company as adopted by special resolution dated 28 March 2014 and effective immediately prior to the completion of the Company's initial public offering of American depositary shares representing the Company's Class A Ordinary Shares (the "</w:t>
            </w:r>
            <w:r>
              <w:rPr>
                <w:b/>
              </w:rPr>
              <w:t>Memorandum and Articles</w:t>
            </w: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1.3</w:t>
            </w:r>
          </w:p>
        </w:tc>
        <w:tc>
          <w:tcPr>
            <w:tcW w:w="9848" w:type="dxa"/>
            <w:tcBorders/>
            <w:shd w:fill="auto" w:val="clear"/>
            <w:vAlign w:val="center"/>
          </w:tcPr>
          <w:p>
            <w:pPr>
              <w:pStyle w:val="TableContents"/>
              <w:spacing w:before="0" w:after="283"/>
              <w:jc w:val="both"/>
              <w:rPr/>
            </w:pPr>
            <w:r>
              <w:rPr/>
              <w:t>The written resolutions of the board of directors of the Company dated 5 August 2021 (the "</w:t>
            </w:r>
            <w:r>
              <w:rPr>
                <w:b/>
              </w:rPr>
              <w:t>Directors' Resolutions</w:t>
            </w:r>
            <w:r>
              <w:rPr/>
              <w:t>") and the written resolutions of the IPO committee of the board of directors of the company dated 25 November 2021 (the "</w:t>
            </w:r>
            <w:r>
              <w:rPr>
                <w:b/>
              </w:rPr>
              <w:t>IPO Committee Resolutions</w:t>
            </w: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1.4</w:t>
            </w:r>
          </w:p>
        </w:tc>
        <w:tc>
          <w:tcPr>
            <w:tcW w:w="9848" w:type="dxa"/>
            <w:tcBorders/>
            <w:shd w:fill="auto" w:val="clear"/>
            <w:vAlign w:val="center"/>
          </w:tcPr>
          <w:p>
            <w:pPr>
              <w:pStyle w:val="TableContents"/>
              <w:spacing w:before="0" w:after="283"/>
              <w:jc w:val="both"/>
              <w:rPr/>
            </w:pPr>
            <w:r>
              <w:rPr/>
              <w:t>A certificate from a director of the Company, a copy of which is attached hereto (the "</w:t>
            </w:r>
            <w:r>
              <w:rPr>
                <w:b/>
              </w:rPr>
              <w:t>Director's Certificate</w:t>
            </w: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1.5</w:t>
            </w:r>
          </w:p>
        </w:tc>
        <w:tc>
          <w:tcPr>
            <w:tcW w:w="9848" w:type="dxa"/>
            <w:tcBorders/>
            <w:shd w:fill="auto" w:val="clear"/>
            <w:vAlign w:val="center"/>
          </w:tcPr>
          <w:p>
            <w:pPr>
              <w:pStyle w:val="TableContents"/>
              <w:spacing w:before="0" w:after="283"/>
              <w:jc w:val="both"/>
              <w:rPr/>
            </w:pPr>
            <w:r>
              <w:rPr/>
              <w:t>A certificate of good standing dated 18 November 2021, issued by the Registrar of Companies in the Cayman Islands (the "</w:t>
            </w:r>
            <w:r>
              <w:rPr>
                <w:b/>
              </w:rPr>
              <w:t>Certificate of Good Standing</w:t>
            </w: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8"/>
        <w:gridCol w:w="1082"/>
        <w:gridCol w:w="8995"/>
      </w:tblGrid>
      <w:tr>
        <w:trPr/>
        <w:tc>
          <w:tcPr>
            <w:tcW w:w="128"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pPr>
            <w:r>
              <w:rPr/>
              <w:t>1.6</w:t>
            </w:r>
          </w:p>
        </w:tc>
        <w:tc>
          <w:tcPr>
            <w:tcW w:w="8995" w:type="dxa"/>
            <w:tcBorders/>
            <w:shd w:fill="auto" w:val="clear"/>
            <w:vAlign w:val="center"/>
          </w:tcPr>
          <w:p>
            <w:pPr>
              <w:pStyle w:val="TableContents"/>
              <w:spacing w:before="0" w:after="283"/>
              <w:jc w:val="both"/>
              <w:rPr/>
            </w:pPr>
            <w:r>
              <w:rPr/>
              <w:t>The Registration Statement.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55"/>
        <w:gridCol w:w="941"/>
        <w:gridCol w:w="9009"/>
      </w:tblGrid>
      <w:tr>
        <w:trPr/>
        <w:tc>
          <w:tcPr>
            <w:tcW w:w="25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b/>
              </w:rPr>
            </w:pPr>
            <w:r>
              <w:rPr>
                <w:b/>
              </w:rPr>
              <w:t>2</w:t>
            </w:r>
          </w:p>
        </w:tc>
        <w:tc>
          <w:tcPr>
            <w:tcW w:w="9009" w:type="dxa"/>
            <w:tcBorders/>
            <w:shd w:fill="auto" w:val="clear"/>
            <w:vAlign w:val="center"/>
          </w:tcPr>
          <w:p>
            <w:pPr>
              <w:pStyle w:val="TableContents"/>
              <w:spacing w:before="0" w:after="283"/>
              <w:jc w:val="both"/>
              <w:rPr>
                <w:b/>
              </w:rPr>
            </w:pPr>
            <w:r>
              <w:rPr>
                <w:b/>
              </w:rPr>
              <w:t>Assumptions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2.1</w:t>
            </w:r>
          </w:p>
        </w:tc>
        <w:tc>
          <w:tcPr>
            <w:tcW w:w="9848" w:type="dxa"/>
            <w:tcBorders/>
            <w:shd w:fill="auto" w:val="clear"/>
            <w:vAlign w:val="center"/>
          </w:tcPr>
          <w:p>
            <w:pPr>
              <w:pStyle w:val="TableContents"/>
              <w:spacing w:before="0" w:after="283"/>
              <w:jc w:val="both"/>
              <w:rPr/>
            </w:pPr>
            <w:r>
              <w:rPr/>
              <w:t>Copies of documents, conformed copies or drafts of documents provided to us are true and complete copies of, or in the final forms of, the originals.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4"/>
        <w:gridCol w:w="716"/>
        <w:gridCol w:w="9405"/>
      </w:tblGrid>
      <w:tr>
        <w:trPr/>
        <w:tc>
          <w:tcPr>
            <w:tcW w:w="8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pPr>
            <w:r>
              <w:rPr/>
              <w:t>2.2</w:t>
            </w:r>
          </w:p>
        </w:tc>
        <w:tc>
          <w:tcPr>
            <w:tcW w:w="9405" w:type="dxa"/>
            <w:tcBorders/>
            <w:shd w:fill="auto" w:val="clear"/>
            <w:vAlign w:val="center"/>
          </w:tcPr>
          <w:p>
            <w:pPr>
              <w:pStyle w:val="TableContents"/>
              <w:spacing w:before="0" w:after="283"/>
              <w:jc w:val="both"/>
              <w:rPr/>
            </w:pPr>
            <w:r>
              <w:rPr/>
              <w:t>All signatures, initials and seals are genuine.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2.3</w:t>
            </w:r>
          </w:p>
        </w:tc>
        <w:tc>
          <w:tcPr>
            <w:tcW w:w="9848" w:type="dxa"/>
            <w:tcBorders/>
            <w:shd w:fill="auto" w:val="clear"/>
            <w:vAlign w:val="center"/>
          </w:tcPr>
          <w:p>
            <w:pPr>
              <w:pStyle w:val="TableContents"/>
              <w:spacing w:before="0" w:after="283"/>
              <w:jc w:val="both"/>
              <w:rPr/>
            </w:pPr>
            <w:r>
              <w:rPr/>
              <w:t>There is nothing contained in the minute book or corporate records of the Company (which we have not inspected) which would or might affect the opinions set out below.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2.4</w:t>
            </w:r>
          </w:p>
        </w:tc>
        <w:tc>
          <w:tcPr>
            <w:tcW w:w="9848" w:type="dxa"/>
            <w:tcBorders/>
            <w:shd w:fill="auto" w:val="clear"/>
            <w:vAlign w:val="center"/>
          </w:tcPr>
          <w:p>
            <w:pPr>
              <w:pStyle w:val="TableContents"/>
              <w:spacing w:before="0" w:after="283"/>
              <w:jc w:val="both"/>
              <w:rPr/>
            </w:pPr>
            <w:r>
              <w:rPr/>
              <w:t>There is nothing under any law (other than the law of the Cayman Islands), which would or might affect the opinions set out below.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3"/>
        <w:gridCol w:w="1376"/>
        <w:gridCol w:w="8456"/>
      </w:tblGrid>
      <w:tr>
        <w:trPr/>
        <w:tc>
          <w:tcPr>
            <w:tcW w:w="373"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b/>
              </w:rPr>
            </w:pPr>
            <w:r>
              <w:rPr>
                <w:b/>
              </w:rPr>
              <w:t>3</w:t>
            </w:r>
          </w:p>
        </w:tc>
        <w:tc>
          <w:tcPr>
            <w:tcW w:w="8456" w:type="dxa"/>
            <w:tcBorders/>
            <w:shd w:fill="auto" w:val="clear"/>
            <w:vAlign w:val="center"/>
          </w:tcPr>
          <w:p>
            <w:pPr>
              <w:pStyle w:val="TableContents"/>
              <w:spacing w:before="0" w:after="283"/>
              <w:jc w:val="both"/>
              <w:rPr>
                <w:b/>
              </w:rPr>
            </w:pPr>
            <w:r>
              <w:rPr>
                <w:b/>
              </w:rPr>
              <w:t>Opinion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set out below and having regard to such legal considerations as we deem relevant, we are of the opinion that: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3.1</w:t>
            </w:r>
          </w:p>
        </w:tc>
        <w:tc>
          <w:tcPr>
            <w:tcW w:w="9848" w:type="dxa"/>
            <w:tcBorders/>
            <w:shd w:fill="auto" w:val="clear"/>
            <w:vAlign w:val="center"/>
          </w:tcPr>
          <w:p>
            <w:pPr>
              <w:pStyle w:val="TableContents"/>
              <w:spacing w:before="0" w:after="283"/>
              <w:jc w:val="both"/>
              <w:rPr/>
            </w:pPr>
            <w:r>
              <w:rPr/>
              <w:t>The Company has been duly incorporated as an exempted company with limited liability and is validly existing and in good standing with the Registrar of Companies under the laws of the Cayman Islands.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3.2</w:t>
            </w:r>
          </w:p>
        </w:tc>
        <w:tc>
          <w:tcPr>
            <w:tcW w:w="9848" w:type="dxa"/>
            <w:tcBorders/>
            <w:shd w:fill="auto" w:val="clear"/>
            <w:vAlign w:val="center"/>
          </w:tcPr>
          <w:p>
            <w:pPr>
              <w:pStyle w:val="TableContents"/>
              <w:spacing w:before="0" w:after="283"/>
              <w:jc w:val="both"/>
              <w:rPr/>
            </w:pPr>
            <w:r>
              <w:rPr/>
              <w:t>The authorised share capital of the Company is US$600,000 divided into (i) 1,800,000,000 Class A Ordinary Shares of par value of US$0.00025 each; (ii) 200,000,000 Class B Ordinary Shares of par value of US$0.00025 each; and (iii) 400,000,000 shares of a par value of US$0.00025 each of such class or classes (however designated) as the board of directors of the Company may determine in accordance with the Memorandum and Articles.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3.3</w:t>
            </w:r>
          </w:p>
        </w:tc>
        <w:tc>
          <w:tcPr>
            <w:tcW w:w="9848" w:type="dxa"/>
            <w:tcBorders/>
            <w:shd w:fill="auto" w:val="clear"/>
            <w:vAlign w:val="center"/>
          </w:tcPr>
          <w:p>
            <w:pPr>
              <w:pStyle w:val="TableContents"/>
              <w:spacing w:before="0" w:after="283"/>
              <w:jc w:val="both"/>
              <w:rPr/>
            </w:pPr>
            <w:r>
              <w:rPr/>
              <w:t>The issue and allotment of the Shares have been duly authorised and when allotted, issued and paid for as contemplated in the Registration Statement, the Shares will be legally issued and allotted, fully paid and non-assessable. As a matter of Cayman Islands law, a share is only issued when it has been entered in the register of members (shareholders).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9848"/>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3.4</w:t>
            </w:r>
          </w:p>
        </w:tc>
        <w:tc>
          <w:tcPr>
            <w:tcW w:w="9848" w:type="dxa"/>
            <w:tcBorders/>
            <w:shd w:fill="auto" w:val="clear"/>
            <w:vAlign w:val="center"/>
          </w:tcPr>
          <w:p>
            <w:pPr>
              <w:pStyle w:val="TableContents"/>
              <w:spacing w:before="0" w:after="283"/>
              <w:jc w:val="both"/>
              <w:rPr/>
            </w:pPr>
            <w:r>
              <w:rPr/>
              <w:t>The statements under the caption "Taxation" in the prospectus forming part of the Registration Statement are accurate in so far as such statements are summaries of or relate to Cayman Islands law, and such statements constitute our opinion.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1"/>
        <w:gridCol w:w="888"/>
        <w:gridCol w:w="9076"/>
      </w:tblGrid>
      <w:tr>
        <w:trPr/>
        <w:tc>
          <w:tcPr>
            <w:tcW w:w="24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b/>
              </w:rPr>
            </w:pPr>
            <w:r>
              <w:rPr>
                <w:b/>
              </w:rPr>
              <w:t>4</w:t>
            </w:r>
          </w:p>
        </w:tc>
        <w:tc>
          <w:tcPr>
            <w:tcW w:w="9076" w:type="dxa"/>
            <w:tcBorders/>
            <w:shd w:fill="auto" w:val="clear"/>
            <w:vAlign w:val="center"/>
          </w:tcPr>
          <w:p>
            <w:pPr>
              <w:pStyle w:val="TableContents"/>
              <w:spacing w:before="0" w:after="283"/>
              <w:jc w:val="both"/>
              <w:rPr>
                <w:b/>
              </w:rPr>
            </w:pPr>
            <w:r>
              <w:rPr>
                <w:b/>
              </w:rPr>
              <w:t>Qualifications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opinion the phrase "non-assessable" means, with respect to the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bdr w:val="single" w:sz="8" w:space="1" w:color="000000"/>
        </w:rPr>
      </w:pPr>
      <w:r>
        <w:rPr>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name under the headings "Enforceability of Civil Liabilities", "Taxation"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Maples and Calder (Hong Kong) 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bdr w:val="single" w:sz="8" w:space="1" w:color="000000"/>
        </w:rPr>
      </w:pPr>
      <w:r>
        <w:rPr>
          <w:bdr w:val="single" w:sz="8" w:space="1" w:color="000000"/>
        </w:rPr>
        <w:t>3</w:t>
      </w:r>
      <w:r>
        <w:br w:type="page"/>
      </w:r>
    </w:p>
    <w:p>
      <w:pPr>
        <w:pStyle w:val="TextBody"/>
        <w:spacing w:before="0" w:after="0"/>
        <w:ind w:left="0" w:right="0" w:hanging="0"/>
        <w:rPr>
          <w:caps w:val="false"/>
          <w:smallCaps w:val="false"/>
        </w:rPr>
      </w:pPr>
      <w:bookmarkStart w:id="21" w:name="tm2132392d3_ex8-2.htm"/>
      <w:bookmarkStart w:id="22" w:name="kstm2132392d3_ex82"/>
      <w:bookmarkEnd w:id="21"/>
      <w:bookmarkEnd w:id="22"/>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8.2</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rPr>
          <w:caps w:val="false"/>
          <w:smallCaps w:val="false"/>
        </w:rPr>
        <w:drawing>
          <wp:inline distT="0" distB="0" distL="0" distR="0">
            <wp:extent cx="4495800" cy="1543050"/>
            <wp:effectExtent l="0" t="0" r="0" b="0"/>
            <wp:docPr id="1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 descr=""/>
                    <pic:cNvPicPr>
                      <a:picLocks noChangeAspect="1" noChangeArrowheads="1"/>
                    </pic:cNvPicPr>
                  </pic:nvPicPr>
                  <pic:blipFill>
                    <a:blip r:embed="rId12"/>
                    <a:stretch>
                      <a:fillRect/>
                    </a:stretch>
                  </pic:blipFill>
                  <pic:spPr bwMode="auto">
                    <a:xfrm>
                      <a:off x="0" y="0"/>
                      <a:ext cx="4495800" cy="154305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26,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Weibo Corporation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8/F QIHAO Plaza, No. 8 Xinyuan S. Road</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100027</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lawyers of the People’s Republic of China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 for the purpose of this legal opinion, the PRC does not include the Hong Kong Special Administrative Region, the Macau Special Administrative Region and Taiwan) and are qualified to issue an opinion on the laws and regulations of the PRC.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PRC legal counsel to Weibo Corporation, a company incorporated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offering of Class A ordinary shares of par value US$0.00025 per share of the Company (the “</w:t>
      </w:r>
      <w:r>
        <w:rPr>
          <w:rFonts w:ascii="Times New Roman;Times;Serif" w:hAnsi="Times New Roman;Times;Serif"/>
          <w:b/>
          <w:i w:val="false"/>
          <w:caps w:val="false"/>
          <w:smallCaps w:val="false"/>
          <w:sz w:val="20"/>
        </w:rPr>
        <w:t>Offer Shares</w:t>
      </w:r>
      <w:r>
        <w:rPr>
          <w:rFonts w:ascii="Times New Roman;Times;Serif" w:hAnsi="Times New Roman;Times;Serif"/>
          <w:b w:val="false"/>
          <w:i w:val="false"/>
          <w:caps w:val="false"/>
          <w:smallCaps w:val="false"/>
          <w:sz w:val="20"/>
        </w:rPr>
        <w:t>”) in accordance with the Company’s registration statement on Form F-3, including the base prospectus, and all amendments or supplements thereto, and documents incorporated by reference therein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requested to give this opinion in connection with the Section “Taxation” in the Registration Statement regarding PRC taxation.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our opinion as set forth under the caption “Taxation — People’s Republic of China Taxation” in the Prospectus Supplement.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our name under the caption “Enforceability of Civil Liabilities”, “Taxation” and “Legal Matters” in the Prospectus Supplement and to the filing of this letter as an exhibit to the Registration Statement with the SEC. In giving such consent, we do not admit that we are in the category of persons whose consent is required under Section 7 of the Securities Act of 1933, as amended, or the regulations promulgated thereunder.</w:t>
      </w:r>
    </w:p>
    <w:p>
      <w:pPr>
        <w:pStyle w:val="TextBody"/>
        <w:spacing w:before="0" w:after="0"/>
        <w:ind w:left="0" w:right="0" w:hanging="0"/>
        <w:rPr>
          <w:caps w:val="false"/>
          <w:smallCaps w:val="false"/>
        </w:rPr>
      </w:pPr>
      <w:r>
        <w:rPr>
          <w:caps w:val="false"/>
          <w:smallCaps w:val="false"/>
        </w:rPr>
        <w:t> </w:t>
      </w:r>
    </w:p>
    <w:tbl>
      <w:tblPr>
        <w:tblW w:w="1880" w:type="dxa"/>
        <w:jc w:val="left"/>
        <w:tblInd w:w="0" w:type="dxa"/>
        <w:tblCellMar>
          <w:top w:w="0" w:type="dxa"/>
          <w:left w:w="0" w:type="dxa"/>
          <w:bottom w:w="0" w:type="dxa"/>
          <w:right w:w="0" w:type="dxa"/>
        </w:tblCellMar>
      </w:tblPr>
      <w:tblGrid>
        <w:gridCol w:w="75"/>
        <w:gridCol w:w="1805"/>
      </w:tblGrid>
      <w:tr>
        <w:trPr/>
        <w:tc>
          <w:tcPr>
            <w:tcW w:w="75" w:type="dxa"/>
            <w:tcBorders/>
            <w:shd w:fill="auto" w:val="clear"/>
            <w:vAlign w:val="center"/>
          </w:tcPr>
          <w:p>
            <w:pPr>
              <w:pStyle w:val="TableContents"/>
              <w:spacing w:before="0" w:after="283"/>
              <w:jc w:val="left"/>
              <w:rPr/>
            </w:pPr>
            <w:r>
              <w:rPr/>
              <w:t> </w:t>
            </w:r>
          </w:p>
        </w:tc>
        <w:tc>
          <w:tcPr>
            <w:tcW w:w="1805" w:type="dxa"/>
            <w:tcBorders/>
            <w:shd w:fill="auto" w:val="clear"/>
            <w:vAlign w:val="center"/>
          </w:tcPr>
          <w:p>
            <w:pPr>
              <w:pStyle w:val="TableContents"/>
              <w:spacing w:before="0" w:after="283"/>
              <w:jc w:val="both"/>
              <w:rPr/>
            </w:pPr>
            <w:r>
              <w:rPr/>
              <w:t>Yours faithfully,</w:t>
            </w:r>
          </w:p>
        </w:tc>
      </w:tr>
      <w:tr>
        <w:trPr/>
        <w:tc>
          <w:tcPr>
            <w:tcW w:w="75" w:type="dxa"/>
            <w:tcBorders/>
            <w:shd w:fill="auto" w:val="clear"/>
            <w:vAlign w:val="center"/>
          </w:tcPr>
          <w:p>
            <w:pPr>
              <w:pStyle w:val="TableContents"/>
              <w:spacing w:before="0" w:after="283"/>
              <w:jc w:val="left"/>
              <w:rPr/>
            </w:pPr>
            <w:r>
              <w:rPr/>
              <w:t> </w:t>
            </w:r>
          </w:p>
        </w:tc>
        <w:tc>
          <w:tcPr>
            <w:tcW w:w="180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left"/>
              <w:rPr/>
            </w:pPr>
            <w:r>
              <w:rPr/>
              <w:t> </w:t>
            </w:r>
          </w:p>
        </w:tc>
        <w:tc>
          <w:tcPr>
            <w:tcW w:w="1805" w:type="dxa"/>
            <w:tcBorders/>
            <w:shd w:fill="auto" w:val="clear"/>
            <w:vAlign w:val="center"/>
          </w:tcPr>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TransAsia Lawyers</w:t>
            </w:r>
          </w:p>
        </w:tc>
      </w:tr>
      <w:tr>
        <w:trPr/>
        <w:tc>
          <w:tcPr>
            <w:tcW w:w="75" w:type="dxa"/>
            <w:tcBorders/>
            <w:shd w:fill="auto" w:val="clear"/>
            <w:vAlign w:val="center"/>
          </w:tcPr>
          <w:p>
            <w:pPr>
              <w:pStyle w:val="TableContents"/>
              <w:spacing w:before="0" w:after="283"/>
              <w:jc w:val="left"/>
              <w:rPr/>
            </w:pPr>
            <w:r>
              <w:rPr/>
              <w:t> </w:t>
            </w:r>
          </w:p>
        </w:tc>
        <w:tc>
          <w:tcPr>
            <w:tcW w:w="1805"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spacing w:before="0" w:after="0"/>
        <w:ind w:left="0" w:right="0" w:hanging="0"/>
        <w:jc w:val="right"/>
        <w:rPr>
          <w:caps w:val="false"/>
          <w:smallCaps w:val="false"/>
        </w:rPr>
      </w:pPr>
      <w:bookmarkStart w:id="23" w:name="tm2132392d3_ex23-1.htm"/>
      <w:bookmarkStart w:id="24" w:name="kstm2132392d3_ex231"/>
      <w:bookmarkEnd w:id="23"/>
      <w:bookmarkEnd w:id="24"/>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hereby consent to the incorporation by reference in this Registration Statement on Form F-3 of Weibo Corporation of our report dated April 22, 2021 relating to the financial statements and the effectiveness of internal control over financial reporting, which appears in Weibo Corporation’s Annual Report on Form 20-F for the year ended December 31, 2020. </w:t>
      </w:r>
      <w:r>
        <w:rPr>
          <w:rFonts w:ascii="Times New Roman;Times;Serif" w:hAnsi="Times New Roman;Times;Serif"/>
          <w:b w:val="false"/>
          <w:i w:val="false"/>
          <w:caps w:val="false"/>
          <w:smallCaps w:val="false"/>
          <w:sz w:val="20"/>
          <w:highlight w:val="white"/>
        </w:rPr>
        <w:t xml:space="preserve">We also consent to the incorporation by reference of our report dated November 18, 2021 relating to the financial statements, which appears in Weibo Corporation’s Form 6-K dated November 18, 2021. </w:t>
      </w:r>
      <w:r>
        <w:rPr>
          <w:rFonts w:ascii="Times New Roman;Times;Serif" w:hAnsi="Times New Roman;Times;Serif"/>
          <w:b w:val="false"/>
          <w:i w:val="false"/>
          <w:caps w:val="false"/>
          <w:smallCaps w:val="false"/>
          <w:sz w:val="20"/>
        </w:rPr>
        <w:t>We also consent to the reference to us under the heading “Experts” in such Registration Statement.</w:t>
      </w:r>
    </w:p>
    <w:p>
      <w:pPr>
        <w:pStyle w:val="TextBody"/>
        <w:spacing w:before="0" w:after="0"/>
        <w:ind w:left="0" w:right="0" w:hanging="0"/>
        <w:jc w:val="both"/>
        <w:rPr>
          <w:caps w:val="false"/>
          <w:smallCaps w:val="false"/>
        </w:rPr>
      </w:pPr>
      <w:r>
        <w:rPr>
          <w:caps w:val="false"/>
          <w:smallCaps w:val="false"/>
        </w:rPr>
        <w:t> </w:t>
      </w:r>
    </w:p>
    <w:tbl>
      <w:tblPr>
        <w:tblW w:w="3635" w:type="dxa"/>
        <w:jc w:val="left"/>
        <w:tblInd w:w="0" w:type="dxa"/>
        <w:tblCellMar>
          <w:top w:w="0" w:type="dxa"/>
          <w:left w:w="0" w:type="dxa"/>
          <w:bottom w:w="0" w:type="dxa"/>
          <w:right w:w="0" w:type="dxa"/>
        </w:tblCellMar>
      </w:tblPr>
      <w:tblGrid>
        <w:gridCol w:w="3635"/>
      </w:tblGrid>
      <w:tr>
        <w:trPr/>
        <w:tc>
          <w:tcPr>
            <w:tcW w:w="363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/s/PricewaterhouseCoopers Zhong Tian LLP</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the People’s Republic of China</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26, 2021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bookmarkStart w:id="25" w:name="tm2132392d3_ex23-4.htm"/>
      <w:bookmarkStart w:id="26" w:name="kstm2132392d3_ex234"/>
      <w:bookmarkEnd w:id="25"/>
      <w:bookmarkEnd w:id="26"/>
      <w:r>
        <w:rPr>
          <w:rFonts w:ascii="Times New Roman;Times;Serif" w:hAnsi="Times New Roman;Times;Serif"/>
          <w:b/>
          <w:i w:val="false"/>
          <w:caps w:val="false"/>
          <w:smallCaps w:val="false"/>
          <w:sz w:val="20"/>
        </w:rPr>
        <w:t>Exhibit 23.4</w:t>
      </w:r>
    </w:p>
    <w:p>
      <w:pPr>
        <w:pStyle w:val="TextBody"/>
        <w:shd w:fill="FFFFFF" w:val="clear"/>
        <w:spacing w:before="0" w:after="0"/>
        <w:ind w:left="0" w:right="0" w:hanging="0"/>
        <w:rPr>
          <w:caps w:val="false"/>
          <w:smallCaps w:val="false"/>
        </w:rPr>
      </w:pPr>
      <w:r>
        <w:rPr>
          <w:caps w:val="false"/>
          <w:smallCaps w:val="false"/>
        </w:rPr>
        <w:t> </w:t>
      </w:r>
    </w:p>
    <w:tbl>
      <w:tblPr>
        <w:tblW w:w="6090" w:type="dxa"/>
        <w:jc w:val="left"/>
        <w:tblInd w:w="0" w:type="dxa"/>
        <w:tblCellMar>
          <w:top w:w="0" w:type="dxa"/>
          <w:left w:w="0" w:type="dxa"/>
          <w:bottom w:w="0" w:type="dxa"/>
          <w:right w:w="0" w:type="dxa"/>
        </w:tblCellMar>
      </w:tblPr>
      <w:tblGrid>
        <w:gridCol w:w="3765"/>
        <w:gridCol w:w="2325"/>
      </w:tblGrid>
      <w:tr>
        <w:trPr/>
        <w:tc>
          <w:tcPr>
            <w:tcW w:w="3765" w:type="dxa"/>
            <w:tcBorders/>
            <w:shd w:fill="auto" w:val="clear"/>
            <w:vAlign w:val="center"/>
          </w:tcPr>
          <w:p>
            <w:pPr>
              <w:pStyle w:val="TableContents"/>
              <w:spacing w:before="0" w:after="283"/>
              <w:jc w:val="left"/>
              <w:rPr/>
            </w:pPr>
            <w:r>
              <w:rPr/>
              <w:drawing>
                <wp:inline distT="0" distB="0" distL="0" distR="0">
                  <wp:extent cx="2381250" cy="666750"/>
                  <wp:effectExtent l="0" t="0" r="0" b="0"/>
                  <wp:docPr id="1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 descr=""/>
                          <pic:cNvPicPr>
                            <a:picLocks noChangeAspect="1" noChangeArrowheads="1"/>
                          </pic:cNvPicPr>
                        </pic:nvPicPr>
                        <pic:blipFill>
                          <a:blip r:embed="rId13"/>
                          <a:stretch>
                            <a:fillRect/>
                          </a:stretch>
                        </pic:blipFill>
                        <pic:spPr bwMode="auto">
                          <a:xfrm>
                            <a:off x="0" y="0"/>
                            <a:ext cx="2381250" cy="666750"/>
                          </a:xfrm>
                          <a:prstGeom prst="rect">
                            <a:avLst/>
                          </a:prstGeom>
                        </pic:spPr>
                      </pic:pic>
                    </a:graphicData>
                  </a:graphic>
                </wp:inline>
              </w:drawing>
            </w:r>
          </w:p>
        </w:tc>
        <w:tc>
          <w:tcPr>
            <w:tcW w:w="2325" w:type="dxa"/>
            <w:tcBorders/>
            <w:shd w:fill="auto" w:val="clear"/>
            <w:vAlign w:val="center"/>
          </w:tcPr>
          <w:p>
            <w:pPr>
              <w:pStyle w:val="TableContents"/>
              <w:spacing w:before="0" w:after="283"/>
              <w:jc w:val="both"/>
              <w:rPr/>
            </w:pPr>
            <w:r>
              <w:rPr/>
              <w:drawing>
                <wp:inline distT="0" distB="0" distL="0" distR="0">
                  <wp:extent cx="1428750" cy="809625"/>
                  <wp:effectExtent l="0" t="0" r="0" b="0"/>
                  <wp:docPr id="13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 descr=""/>
                          <pic:cNvPicPr>
                            <a:picLocks noChangeAspect="1" noChangeArrowheads="1"/>
                          </pic:cNvPicPr>
                        </pic:nvPicPr>
                        <pic:blipFill>
                          <a:blip r:embed="rId14"/>
                          <a:stretch>
                            <a:fillRect/>
                          </a:stretch>
                        </pic:blipFill>
                        <pic:spPr bwMode="auto">
                          <a:xfrm>
                            <a:off x="0" y="0"/>
                            <a:ext cx="1428750" cy="809625"/>
                          </a:xfrm>
                          <a:prstGeom prst="rect">
                            <a:avLst/>
                          </a:prstGeom>
                        </pic:spPr>
                      </pic:pic>
                    </a:graphicData>
                  </a:graphic>
                </wp:inline>
              </w:drawing>
            </w:r>
            <w:r>
              <w:rPr/>
              <w:t> </w:t>
            </w:r>
          </w:p>
        </w:tc>
      </w:tr>
    </w:tbl>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26, 2021</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Weibo Corporation</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8/F, QIHAO Plaza, No. 8 Xinyuan S. Road</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100027</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 Weibo Corporation</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Weibo Corporation (the “Company”) plans to file a registration statement on Form F-3 (the “Registration Statement”), a preliminary prospectus supplement (together with the base prospectus included in the Registration Statement and the any incorporated documents, the “Preliminary Prospectus”) and a final prospectus supplement (together with the base prospectus included in the Registration Statement and the any incorporated documents, the “Prospectus”) with the United States Securities and Exchange Commission (the “SEC”) in connection with its proposed Global Offering (the “Global Offering”).</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references to our name and the inclusion of information, data and statements from our research reports and amendments thereto (collectively, the “Reports”), and any subsequent amendments to the Reports, as well as the citation of our research reports and amendments thereto, in the Registration Statement and any amendments thereto, in the Preliminary Prospectus and the Prospectus, in any other future filings with the SEC by the Company, including, without limitation, filings on Form 20-F or Form 6-K or other SEC filings (collectively, the “SEC Filings”), on the websites of the Company and its subsidiaries and affiliates, in institutional and retail road shows and other activities in connection with the Global Offering, and in other publicity materials in connection with the Global Offering.</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hereby consent to the filing of this letter as an exhibit to the Registration Statement and any amendments thereto and as an exhibit to any other SEC Filings.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rPr>
          <w:caps w:val="false"/>
          <w:smallCaps w:val="false"/>
        </w:rPr>
        <w:drawing>
          <wp:inline distT="0" distB="0" distL="0" distR="0">
            <wp:extent cx="3333750" cy="314325"/>
            <wp:effectExtent l="0" t="0" r="0" b="0"/>
            <wp:docPr id="13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 descr=""/>
                    <pic:cNvPicPr>
                      <a:picLocks noChangeAspect="1" noChangeArrowheads="1"/>
                    </pic:cNvPicPr>
                  </pic:nvPicPr>
                  <pic:blipFill>
                    <a:blip r:embed="rId15"/>
                    <a:stretch>
                      <a:fillRect/>
                    </a:stretch>
                  </pic:blipFill>
                  <pic:spPr bwMode="auto">
                    <a:xfrm>
                      <a:off x="0" y="0"/>
                      <a:ext cx="3333750" cy="314325"/>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hd w:fill="FFFFFF" w:val="clear"/>
        <w:spacing w:before="0" w:after="0"/>
        <w:ind w:left="0" w:right="0" w:hanging="0"/>
        <w:rPr>
          <w:caps w:val="false"/>
          <w:smallCaps w:val="false"/>
        </w:rPr>
      </w:pPr>
      <w:r>
        <w:rPr>
          <w:caps w:val="false"/>
          <w:smallCaps w:val="false"/>
        </w:rPr>
        <w:t> </w:t>
      </w:r>
    </w:p>
    <w:tbl>
      <w:tblPr>
        <w:tblW w:w="6090" w:type="dxa"/>
        <w:jc w:val="left"/>
        <w:tblInd w:w="0" w:type="dxa"/>
        <w:tblCellMar>
          <w:top w:w="0" w:type="dxa"/>
          <w:left w:w="0" w:type="dxa"/>
          <w:bottom w:w="0" w:type="dxa"/>
          <w:right w:w="0" w:type="dxa"/>
        </w:tblCellMar>
      </w:tblPr>
      <w:tblGrid>
        <w:gridCol w:w="3765"/>
        <w:gridCol w:w="2325"/>
      </w:tblGrid>
      <w:tr>
        <w:trPr/>
        <w:tc>
          <w:tcPr>
            <w:tcW w:w="3765" w:type="dxa"/>
            <w:tcBorders/>
            <w:shd w:fill="auto" w:val="clear"/>
            <w:vAlign w:val="center"/>
          </w:tcPr>
          <w:p>
            <w:pPr>
              <w:pStyle w:val="TableContents"/>
              <w:spacing w:before="0" w:after="283"/>
              <w:jc w:val="left"/>
              <w:rPr/>
            </w:pPr>
            <w:r>
              <w:rPr/>
              <w:drawing>
                <wp:inline distT="0" distB="0" distL="0" distR="0">
                  <wp:extent cx="2381250" cy="666750"/>
                  <wp:effectExtent l="0" t="0" r="0" b="0"/>
                  <wp:docPr id="13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6" descr=""/>
                          <pic:cNvPicPr>
                            <a:picLocks noChangeAspect="1" noChangeArrowheads="1"/>
                          </pic:cNvPicPr>
                        </pic:nvPicPr>
                        <pic:blipFill>
                          <a:blip r:embed="rId16"/>
                          <a:stretch>
                            <a:fillRect/>
                          </a:stretch>
                        </pic:blipFill>
                        <pic:spPr bwMode="auto">
                          <a:xfrm>
                            <a:off x="0" y="0"/>
                            <a:ext cx="2381250" cy="666750"/>
                          </a:xfrm>
                          <a:prstGeom prst="rect">
                            <a:avLst/>
                          </a:prstGeom>
                        </pic:spPr>
                      </pic:pic>
                    </a:graphicData>
                  </a:graphic>
                </wp:inline>
              </w:drawing>
            </w:r>
          </w:p>
        </w:tc>
        <w:tc>
          <w:tcPr>
            <w:tcW w:w="2325" w:type="dxa"/>
            <w:tcBorders/>
            <w:shd w:fill="auto" w:val="clear"/>
            <w:vAlign w:val="center"/>
          </w:tcPr>
          <w:p>
            <w:pPr>
              <w:pStyle w:val="TableContents"/>
              <w:spacing w:before="0" w:after="283"/>
              <w:jc w:val="both"/>
              <w:rPr/>
            </w:pPr>
            <w:r>
              <w:rPr/>
              <w:drawing>
                <wp:inline distT="0" distB="0" distL="0" distR="0">
                  <wp:extent cx="1428750" cy="809625"/>
                  <wp:effectExtent l="0" t="0" r="0" b="0"/>
                  <wp:docPr id="14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 descr=""/>
                          <pic:cNvPicPr>
                            <a:picLocks noChangeAspect="1" noChangeArrowheads="1"/>
                          </pic:cNvPicPr>
                        </pic:nvPicPr>
                        <pic:blipFill>
                          <a:blip r:embed="rId17"/>
                          <a:stretch>
                            <a:fillRect/>
                          </a:stretch>
                        </pic:blipFill>
                        <pic:spPr bwMode="auto">
                          <a:xfrm>
                            <a:off x="0" y="0"/>
                            <a:ext cx="1428750" cy="809625"/>
                          </a:xfrm>
                          <a:prstGeom prst="rect">
                            <a:avLst/>
                          </a:prstGeom>
                        </pic:spPr>
                      </pic:pic>
                    </a:graphicData>
                  </a:graphic>
                </wp:inline>
              </w:drawing>
            </w:r>
            <w:r>
              <w:rPr/>
              <w:t> </w:t>
            </w:r>
          </w:p>
        </w:tc>
      </w:tr>
    </w:tbl>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  </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p>
      <w:pPr>
        <w:pStyle w:val="TextBody"/>
        <w:spacing w:before="0" w:after="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 Insights Industry Consultancy Limited</w:t>
      </w:r>
    </w:p>
    <w:p>
      <w:pPr>
        <w:pStyle w:val="TextBody"/>
        <w:spacing w:before="0" w:after="0"/>
        <w:rPr>
          <w:caps w:val="false"/>
          <w:smallCaps w:val="false"/>
        </w:rPr>
      </w:pPr>
      <w:r>
        <w:rPr>
          <w:caps w:val="false"/>
          <w:smallCaps w:val="false"/>
        </w:rPr>
        <w:t> </w:t>
      </w:r>
    </w:p>
    <w:tbl>
      <w:tblPr>
        <w:tblW w:w="1705" w:type="dxa"/>
        <w:jc w:val="left"/>
        <w:tblInd w:w="0" w:type="dxa"/>
        <w:tblCellMar>
          <w:top w:w="0" w:type="dxa"/>
          <w:left w:w="0" w:type="dxa"/>
          <w:bottom w:w="28" w:type="dxa"/>
          <w:right w:w="0" w:type="dxa"/>
        </w:tblCellMar>
      </w:tblPr>
      <w:tblGrid>
        <w:gridCol w:w="665"/>
        <w:gridCol w:w="965"/>
        <w:gridCol w:w="75"/>
      </w:tblGrid>
      <w:tr>
        <w:trPr/>
        <w:tc>
          <w:tcPr>
            <w:tcW w:w="1630" w:type="dxa"/>
            <w:gridSpan w:val="2"/>
            <w:tcBorders>
              <w:bottom w:val="single" w:sz="8" w:space="0" w:color="000000"/>
            </w:tcBorders>
            <w:shd w:fill="auto" w:val="clear"/>
            <w:vAlign w:val="center"/>
          </w:tcPr>
          <w:p>
            <w:pPr>
              <w:pStyle w:val="TableContents"/>
              <w:spacing w:before="0" w:after="283"/>
              <w:rPr/>
            </w:pPr>
            <w:r>
              <w:rPr/>
              <w:t>/s/ Lisa Feng</w:t>
            </w:r>
          </w:p>
        </w:tc>
        <w:tc>
          <w:tcPr>
            <w:tcW w:w="75" w:type="dxa"/>
            <w:tcBorders/>
            <w:shd w:fill="auto" w:val="clear"/>
            <w:tcMar>
              <w:bottom w:w="0" w:type="dxa"/>
            </w:tcMar>
            <w:vAlign w:val="center"/>
          </w:tcPr>
          <w:p>
            <w:pPr>
              <w:pStyle w:val="TableContents"/>
              <w:spacing w:before="0" w:after="283"/>
              <w:jc w:val="both"/>
              <w:rPr/>
            </w:pPr>
            <w:r>
              <w:rPr/>
              <w:t> </w:t>
            </w:r>
          </w:p>
        </w:tc>
      </w:tr>
      <w:tr>
        <w:trPr/>
        <w:tc>
          <w:tcPr>
            <w:tcW w:w="665" w:type="dxa"/>
            <w:tcBorders/>
            <w:shd w:fill="auto" w:val="clear"/>
            <w:tcMar>
              <w:bottom w:w="0" w:type="dxa"/>
            </w:tcMar>
            <w:vAlign w:val="center"/>
          </w:tcPr>
          <w:p>
            <w:pPr>
              <w:pStyle w:val="TableContents"/>
              <w:spacing w:before="0" w:after="283"/>
              <w:rPr/>
            </w:pPr>
            <w:r>
              <w:rPr/>
              <w:t>Name</w:t>
              <w:tab/>
              <w:t>:</w:t>
            </w:r>
          </w:p>
        </w:tc>
        <w:tc>
          <w:tcPr>
            <w:tcW w:w="965" w:type="dxa"/>
            <w:tcBorders/>
            <w:shd w:fill="auto" w:val="clear"/>
            <w:tcMar>
              <w:bottom w:w="0" w:type="dxa"/>
            </w:tcMar>
            <w:vAlign w:val="center"/>
          </w:tcPr>
          <w:p>
            <w:pPr>
              <w:pStyle w:val="TableContents"/>
              <w:spacing w:before="0" w:after="283"/>
              <w:jc w:val="left"/>
              <w:rPr/>
            </w:pPr>
            <w:r>
              <w:rPr/>
              <w:t>Lisa Feng</w:t>
            </w:r>
          </w:p>
        </w:tc>
        <w:tc>
          <w:tcPr>
            <w:tcW w:w="75" w:type="dxa"/>
            <w:tcBorders/>
            <w:shd w:fill="auto" w:val="clear"/>
            <w:tcMar>
              <w:bottom w:w="0" w:type="dxa"/>
            </w:tcMar>
            <w:vAlign w:val="center"/>
          </w:tcPr>
          <w:p>
            <w:pPr>
              <w:pStyle w:val="TableContents"/>
              <w:spacing w:before="0" w:after="283"/>
              <w:jc w:val="both"/>
              <w:rPr/>
            </w:pPr>
            <w:r>
              <w:rPr/>
              <w:t> </w:t>
            </w:r>
          </w:p>
        </w:tc>
      </w:tr>
      <w:tr>
        <w:trPr/>
        <w:tc>
          <w:tcPr>
            <w:tcW w:w="665" w:type="dxa"/>
            <w:tcBorders/>
            <w:shd w:fill="auto" w:val="clear"/>
            <w:tcMar>
              <w:bottom w:w="0" w:type="dxa"/>
            </w:tcMar>
            <w:vAlign w:val="center"/>
          </w:tcPr>
          <w:p>
            <w:pPr>
              <w:pStyle w:val="TableContents"/>
              <w:spacing w:before="0" w:after="283"/>
              <w:rPr/>
            </w:pPr>
            <w:r>
              <w:rPr/>
              <w:t>Title</w:t>
              <w:tab/>
              <w:t>:</w:t>
            </w:r>
          </w:p>
        </w:tc>
        <w:tc>
          <w:tcPr>
            <w:tcW w:w="965" w:type="dxa"/>
            <w:tcBorders/>
            <w:shd w:fill="auto" w:val="clear"/>
            <w:tcMar>
              <w:bottom w:w="0" w:type="dxa"/>
            </w:tcMar>
            <w:vAlign w:val="center"/>
          </w:tcPr>
          <w:p>
            <w:pPr>
              <w:pStyle w:val="TableContents"/>
              <w:spacing w:before="0" w:after="283"/>
              <w:jc w:val="left"/>
              <w:rPr/>
            </w:pPr>
            <w:r>
              <w:rPr/>
              <w:t>Partner</w:t>
            </w:r>
          </w:p>
        </w:tc>
        <w:tc>
          <w:tcPr>
            <w:tcW w:w="75" w:type="dxa"/>
            <w:tcBorders/>
            <w:shd w:fill="auto" w:val="clear"/>
            <w:tcMar>
              <w:bottom w:w="0" w:type="dxa"/>
            </w:tcMar>
            <w:vAlign w:val="center"/>
          </w:tcPr>
          <w:p>
            <w:pPr>
              <w:pStyle w:val="TableContents"/>
              <w:spacing w:before="0" w:after="283"/>
              <w:jc w:val="both"/>
              <w:rPr/>
            </w:pPr>
            <w:r>
              <w:rPr/>
              <w:t> </w:t>
            </w:r>
          </w:p>
        </w:tc>
      </w:tr>
    </w:tbl>
    <w:p>
      <w:pPr>
        <w:pStyle w:val="TextBody"/>
        <w:spacing w:before="0" w:after="0"/>
        <w:jc w:val="left"/>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rPr>
          <w:caps w:val="false"/>
          <w:smallCaps w:val="false"/>
        </w:rPr>
        <w:drawing>
          <wp:inline distT="0" distB="0" distL="0" distR="0">
            <wp:extent cx="3333750" cy="314325"/>
            <wp:effectExtent l="0" t="0" r="0" b="0"/>
            <wp:docPr id="1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8" descr=""/>
                    <pic:cNvPicPr>
                      <a:picLocks noChangeAspect="1" noChangeArrowheads="1"/>
                    </pic:cNvPicPr>
                  </pic:nvPicPr>
                  <pic:blipFill>
                    <a:blip r:embed="rId18"/>
                    <a:stretch>
                      <a:fillRect/>
                    </a:stretch>
                  </pic:blipFill>
                  <pic:spPr bwMode="auto">
                    <a:xfrm>
                      <a:off x="0" y="0"/>
                      <a:ext cx="3333750" cy="314325"/>
                    </a:xfrm>
                    <a:prstGeom prst="rect">
                      <a:avLst/>
                    </a:prstGeom>
                  </pic:spPr>
                </pic:pic>
              </a:graphicData>
            </a:graphic>
          </wp:inline>
        </w:drawing>
      </w:r>
    </w:p>
    <w:p>
      <w:pPr>
        <w:pStyle w:val="TextBody"/>
        <w:spacing w:before="0" w:after="0"/>
        <w:jc w:val="left"/>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arial"/>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95761/000110465921053395/wb-20201231x20f.htm" TargetMode="External"/><Relationship Id="rId4" Type="http://schemas.openxmlformats.org/officeDocument/2006/relationships/hyperlink" Target="https://www.sec.gov/ix?doc=/Archives/edgar/data/1595761/000110465921053395/wb-20201231x20f.htm" TargetMode="External"/><Relationship Id="rId5" Type="http://schemas.openxmlformats.org/officeDocument/2006/relationships/hyperlink" Target="http://www.sec.gov/ix?doc=/Archives/edgar/data/1595761/000110465921053395/wb-20201231x20f.htm" TargetMode="External"/><Relationship Id="rId6" Type="http://schemas.openxmlformats.org/officeDocument/2006/relationships/hyperlink" Target="http://www.sec.gov/ix?doc=/Archives/edgar/data/1595761/000110465921140888/wb-20210630x6k.htm" TargetMode="External"/><Relationship Id="rId7" Type="http://schemas.openxmlformats.org/officeDocument/2006/relationships/hyperlink" Target="http://www.sec.gov/ix?doc=/Archives/edgar/data/1595761/000110465921140888/wb-20210630x6k.htm" TargetMode="External"/><Relationship Id="rId8" Type="http://schemas.openxmlformats.org/officeDocument/2006/relationships/hyperlink" Target="http://www.sec.gov/ix?doc=/Archives/edgar/data/1595761/000110465921140888/wb-20210630x6k.htm" TargetMode="External"/><Relationship Id="rId9" Type="http://schemas.openxmlformats.org/officeDocument/2006/relationships/hyperlink" Target="http://www.sec.gov/ix?doc=/Archives/edgar/data/1595761/000110465921140888/wb-20210630x6k.htm" TargetMode="External"/><Relationship Id="rId10" Type="http://schemas.openxmlformats.org/officeDocument/2006/relationships/hyperlink" Target="https://www.sec.gov/Archives/edgar/data/1595761/000110465921053395/wb-20201231xex2d3.htm" TargetMode="External"/><Relationship Id="rId11" Type="http://schemas.openxmlformats.org/officeDocument/2006/relationships/hyperlink" Target="https://www.sec.gov/Archives/edgar/data/1595761/000110465921053395/wb-20201231xex2d3.htm" TargetMode="External"/><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29457</Words>
  <CharactersWithSpaces>182536</CharactersWithSpaces>
  <Paragraphs>1502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