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5)*</w:t>
      </w:r>
    </w:p>
    <w:p>
      <w:pPr>
        <w:spacing w:after="0" w:line="1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Weibo Corporation</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ordinary shares, par value $0.00025 per share</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948596 101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020" w:hanging="587"/>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020" w:hanging="587"/>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020" w:hanging="587"/>
        <w:spacing w:after="0"/>
        <w:tabs>
          <w:tab w:leader="none" w:pos="10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79" w:right="399" w:bottom="1440" w:gutter="0" w:footer="0" w:header="0"/>
        </w:sectPr>
      </w:pPr>
    </w:p>
    <w:bookmarkStart w:id="1" w:name="page2"/>
    <w:bookmarkEnd w:id="1"/>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948596 101</w:t>
      </w:r>
      <w:r>
        <w:rPr>
          <w:sz w:val="20"/>
          <w:szCs w:val="20"/>
          <w:color w:val="auto"/>
        </w:rPr>
        <w:tab/>
      </w:r>
      <w:r>
        <w:rPr>
          <w:rFonts w:ascii="Times New Roman" w:cs="Times New Roman" w:eastAsia="Times New Roman" w:hAnsi="Times New Roman"/>
          <w:sz w:val="18"/>
          <w:szCs w:val="18"/>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45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45940"/>
                    </a:xfrm>
                    <a:prstGeom prst="rect">
                      <a:avLst/>
                    </a:prstGeom>
                    <a:noFill/>
                  </pic:spPr>
                </pic:pic>
              </a:graphicData>
            </a:graphic>
          </wp:anchor>
        </w:drawing>
      </w:r>
    </w:p>
    <w:p>
      <w:pPr>
        <w:spacing w:after="0" w:line="273" w:lineRule="exact"/>
        <w:rPr>
          <w:sz w:val="20"/>
          <w:szCs w:val="20"/>
          <w:color w:val="auto"/>
        </w:rPr>
      </w:pPr>
    </w:p>
    <w:p>
      <w:pPr>
        <w:ind w:left="620" w:right="8640" w:hanging="545"/>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Sina Corporation</w:t>
      </w:r>
    </w:p>
    <w:p>
      <w:pPr>
        <w:spacing w:after="0" w:line="67" w:lineRule="exact"/>
        <w:rPr>
          <w:sz w:val="20"/>
          <w:szCs w:val="20"/>
          <w:color w:val="auto"/>
        </w:rPr>
      </w:pPr>
    </w:p>
    <w:p>
      <w:pPr>
        <w:ind w:left="620" w:hanging="545"/>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89" w:lineRule="exact"/>
        <w:rPr>
          <w:rFonts w:ascii="Times New Roman" w:cs="Times New Roman" w:eastAsia="Times New Roman" w:hAnsi="Times New Roman"/>
          <w:sz w:val="18"/>
          <w:szCs w:val="18"/>
          <w:color w:val="auto"/>
        </w:rPr>
      </w:pPr>
    </w:p>
    <w:p>
      <w:pPr>
        <w:ind w:left="960" w:hanging="345"/>
        <w:spacing w:after="0" w:line="207" w:lineRule="exact"/>
        <w:tabs>
          <w:tab w:leader="none" w:pos="96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0" w:lineRule="exact"/>
        <w:rPr>
          <w:rFonts w:ascii="Times New Roman" w:cs="Times New Roman" w:eastAsia="Times New Roman" w:hAnsi="Times New Roman"/>
          <w:sz w:val="18"/>
          <w:szCs w:val="18"/>
          <w:color w:val="auto"/>
        </w:rPr>
      </w:pPr>
    </w:p>
    <w:p>
      <w:pPr>
        <w:ind w:left="960" w:hanging="345"/>
        <w:spacing w:after="0"/>
        <w:tabs>
          <w:tab w:leader="none" w:pos="960" w:val="left"/>
        </w:tabs>
        <w:numPr>
          <w:ilvl w:val="1"/>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121" w:lineRule="exact"/>
        <w:rPr>
          <w:sz w:val="20"/>
          <w:szCs w:val="20"/>
          <w:color w:val="auto"/>
        </w:rPr>
      </w:pPr>
    </w:p>
    <w:p>
      <w:pPr>
        <w:ind w:left="620" w:hanging="54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1" w:lineRule="exact"/>
        <w:rPr>
          <w:sz w:val="20"/>
          <w:szCs w:val="20"/>
          <w:color w:val="auto"/>
        </w:rPr>
      </w:pPr>
    </w:p>
    <w:p>
      <w:pPr>
        <w:ind w:left="620" w:right="8000" w:hanging="545"/>
        <w:spacing w:after="0" w:line="282"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tbl>
      <w:tblPr>
        <w:tblLayout w:type="fixed"/>
        <w:tblInd w:w="0" w:type="dxa"/>
        <w:tblCellMar>
          <w:top w:w="0" w:type="dxa"/>
          <w:left w:w="0" w:type="dxa"/>
          <w:bottom w:w="0" w:type="dxa"/>
          <w:right w:w="0" w:type="dxa"/>
        </w:tblCellMar>
      </w:tblPr>
      <w:tr>
        <w:trPr>
          <w:trHeight w:val="267"/>
        </w:trPr>
        <w:tc>
          <w:tcPr>
            <w:tcW w:w="128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top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w:t>
            </w:r>
          </w:p>
        </w:tc>
        <w:tc>
          <w:tcPr>
            <w:tcW w:w="9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7"/>
        </w:trPr>
        <w:tc>
          <w:tcPr>
            <w:tcW w:w="1280" w:type="dxa"/>
            <w:vAlign w:val="bottom"/>
            <w:tcBorders>
              <w:right w:val="single" w:sz="8" w:color="auto"/>
            </w:tcBorders>
            <w:vMerge w:val="continue"/>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300" w:type="dxa"/>
            <w:vAlign w:val="bottom"/>
          </w:tcPr>
          <w:p>
            <w:pPr>
              <w:ind w:left="60"/>
              <w:spacing w:after="0" w:line="217" w:lineRule="exact"/>
              <w:rPr>
                <w:sz w:val="20"/>
                <w:szCs w:val="20"/>
                <w:color w:val="auto"/>
              </w:rPr>
            </w:pPr>
            <w:r>
              <w:rPr>
                <w:rFonts w:ascii="Times New Roman" w:cs="Times New Roman" w:eastAsia="Times New Roman" w:hAnsi="Times New Roman"/>
                <w:sz w:val="16"/>
                <w:szCs w:val="16"/>
                <w:color w:val="auto"/>
              </w:rPr>
              <w:t>87,822,024</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Borders>
              <w:bottom w:val="single" w:sz="8" w:color="auto"/>
              <w:right w:val="single" w:sz="8" w:color="auto"/>
            </w:tcBorders>
          </w:tcPr>
          <w:p>
            <w:pPr>
              <w:spacing w:after="0"/>
              <w:rPr>
                <w:sz w:val="9"/>
                <w:szCs w:val="9"/>
                <w:color w:val="auto"/>
              </w:rPr>
            </w:pPr>
          </w:p>
        </w:tc>
        <w:tc>
          <w:tcPr>
            <w:tcW w:w="9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28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6</w:t>
            </w:r>
          </w:p>
        </w:tc>
        <w:tc>
          <w:tcPr>
            <w:tcW w:w="9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280" w:type="dxa"/>
            <w:vAlign w:val="bottom"/>
            <w:tcBorders>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tcBorders>
              <w:right w:val="single" w:sz="8" w:color="auto"/>
            </w:tcBorders>
            <w:vMerge w:val="continue"/>
          </w:tcPr>
          <w:p>
            <w:pPr>
              <w:spacing w:after="0"/>
              <w:rPr>
                <w:sz w:val="15"/>
                <w:szCs w:val="15"/>
                <w:color w:val="auto"/>
              </w:rPr>
            </w:pPr>
          </w:p>
        </w:tc>
        <w:tc>
          <w:tcPr>
            <w:tcW w:w="9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23"/>
                <w:szCs w:val="23"/>
                <w:color w:val="auto"/>
              </w:rPr>
            </w:pPr>
          </w:p>
        </w:tc>
        <w:tc>
          <w:tcPr>
            <w:tcW w:w="9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28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66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71"/>
        </w:trPr>
        <w:tc>
          <w:tcPr>
            <w:tcW w:w="1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660" w:type="dxa"/>
            <w:vAlign w:val="bottom"/>
            <w:tcBorders>
              <w:right w:val="single" w:sz="8" w:color="auto"/>
            </w:tcBorders>
            <w:vMerge w:val="continue"/>
          </w:tcPr>
          <w:p>
            <w:pPr>
              <w:spacing w:after="0"/>
              <w:rPr>
                <w:sz w:val="6"/>
                <w:szCs w:val="6"/>
                <w:color w:val="auto"/>
              </w:rPr>
            </w:pPr>
          </w:p>
        </w:tc>
        <w:tc>
          <w:tcPr>
            <w:tcW w:w="9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28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300" w:type="dxa"/>
            <w:vAlign w:val="bottom"/>
            <w:vMerge w:val="restart"/>
          </w:tcPr>
          <w:p>
            <w:pPr>
              <w:ind w:left="60"/>
              <w:spacing w:after="0" w:line="324" w:lineRule="exact"/>
              <w:rPr>
                <w:sz w:val="20"/>
                <w:szCs w:val="20"/>
                <w:color w:val="auto"/>
              </w:rPr>
            </w:pPr>
            <w:r>
              <w:rPr>
                <w:rFonts w:ascii="Times New Roman" w:cs="Times New Roman" w:eastAsia="Times New Roman" w:hAnsi="Times New Roman"/>
                <w:sz w:val="18"/>
                <w:szCs w:val="18"/>
                <w:color w:val="auto"/>
              </w:rPr>
              <w:t>87,822,024</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94"/>
        </w:trPr>
        <w:tc>
          <w:tcPr>
            <w:tcW w:w="1280" w:type="dxa"/>
            <w:vAlign w:val="bottom"/>
            <w:tcBorders>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18"/>
                <w:szCs w:val="18"/>
                <w:color w:val="auto"/>
              </w:rPr>
              <w:t>Person</w:t>
            </w:r>
          </w:p>
        </w:tc>
        <w:tc>
          <w:tcPr>
            <w:tcW w:w="660" w:type="dxa"/>
            <w:vAlign w:val="bottom"/>
            <w:tcBorders>
              <w:bottom w:val="single" w:sz="8" w:color="auto"/>
              <w:right w:val="single" w:sz="8" w:color="auto"/>
            </w:tcBorders>
          </w:tcPr>
          <w:p>
            <w:pPr>
              <w:spacing w:after="0"/>
              <w:rPr>
                <w:sz w:val="16"/>
                <w:szCs w:val="16"/>
                <w:color w:val="auto"/>
              </w:rPr>
            </w:pPr>
          </w:p>
        </w:tc>
        <w:tc>
          <w:tcPr>
            <w:tcW w:w="9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w:t>
            </w:r>
          </w:p>
        </w:tc>
        <w:tc>
          <w:tcPr>
            <w:tcW w:w="66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9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28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9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right="5800" w:hanging="565"/>
        <w:spacing w:after="0" w:line="27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87,822,024</w:t>
      </w:r>
      <w:r>
        <w:rPr>
          <w:rFonts w:ascii="Times New Roman" w:cs="Times New Roman" w:eastAsia="Times New Roman" w:hAnsi="Times New Roman"/>
          <w:sz w:val="29"/>
          <w:szCs w:val="29"/>
          <w:color w:val="auto"/>
          <w:vertAlign w:val="superscript"/>
        </w:rPr>
        <w:t>(1)</w:t>
      </w:r>
    </w:p>
    <w:p>
      <w:pPr>
        <w:ind w:left="640" w:hanging="565"/>
        <w:spacing w:after="0"/>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Wingdings" w:cs="Wingdings" w:eastAsia="Wingdings" w:hAnsi="Wingdings"/>
          <w:sz w:val="18"/>
          <w:szCs w:val="18"/>
          <w:b w:val="1"/>
          <w:bCs w:val="1"/>
          <w:color w:val="auto"/>
        </w:rPr>
        <w:t>o</w:t>
      </w:r>
    </w:p>
    <w:p>
      <w:pPr>
        <w:spacing w:after="0" w:line="111" w:lineRule="exact"/>
        <w:rPr>
          <w:rFonts w:ascii="Times New Roman" w:cs="Times New Roman" w:eastAsia="Times New Roman" w:hAnsi="Times New Roman"/>
          <w:sz w:val="18"/>
          <w:szCs w:val="18"/>
          <w:color w:val="auto"/>
        </w:rPr>
      </w:pPr>
    </w:p>
    <w:p>
      <w:pPr>
        <w:ind w:left="640" w:hanging="565"/>
        <w:spacing w:after="0"/>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640"/>
        <w:spacing w:after="0" w:line="1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bscript"/>
        </w:rPr>
        <w:t>36.2%</w:t>
      </w:r>
      <w:r>
        <w:rPr>
          <w:rFonts w:ascii="Times New Roman" w:cs="Times New Roman" w:eastAsia="Times New Roman" w:hAnsi="Times New Roman"/>
          <w:sz w:val="13"/>
          <w:szCs w:val="13"/>
          <w:color w:val="auto"/>
        </w:rPr>
        <w:t>(1)(2)</w:t>
      </w:r>
    </w:p>
    <w:p>
      <w:pPr>
        <w:spacing w:after="0" w:line="103" w:lineRule="exact"/>
        <w:rPr>
          <w:rFonts w:ascii="Times New Roman" w:cs="Times New Roman" w:eastAsia="Times New Roman" w:hAnsi="Times New Roman"/>
          <w:sz w:val="18"/>
          <w:szCs w:val="18"/>
          <w:color w:val="auto"/>
        </w:rPr>
      </w:pPr>
    </w:p>
    <w:p>
      <w:pPr>
        <w:ind w:left="640" w:hanging="565"/>
        <w:spacing w:after="0"/>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0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87,822,024 Class B ordinary shares held by Sina Corporation, which are convertible into 87,822,024 Class A ordinary shares.</w:t>
      </w:r>
    </w:p>
    <w:p>
      <w:pPr>
        <w:spacing w:after="0" w:line="22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242,610,942 Class A ordinary shares outstanding as of December 31, 2023, assuming all Class B ordinary shares held by such reporting person are converted into the same number of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-588010</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948596 101</w:t>
      </w:r>
      <w:r>
        <w:rPr>
          <w:sz w:val="20"/>
          <w:szCs w:val="20"/>
          <w:color w:val="auto"/>
        </w:rPr>
        <w:tab/>
      </w:r>
      <w:r>
        <w:rPr>
          <w:rFonts w:ascii="Times New Roman" w:cs="Times New Roman" w:eastAsia="Times New Roman" w:hAnsi="Times New Roman"/>
          <w:sz w:val="18"/>
          <w:szCs w:val="18"/>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45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45940"/>
                    </a:xfrm>
                    <a:prstGeom prst="rect">
                      <a:avLst/>
                    </a:prstGeom>
                    <a:noFill/>
                  </pic:spPr>
                </pic:pic>
              </a:graphicData>
            </a:graphic>
          </wp:anchor>
        </w:drawing>
      </w:r>
    </w:p>
    <w:p>
      <w:pPr>
        <w:spacing w:after="0" w:line="273" w:lineRule="exact"/>
        <w:rPr>
          <w:sz w:val="20"/>
          <w:szCs w:val="20"/>
          <w:color w:val="auto"/>
        </w:rPr>
      </w:pPr>
    </w:p>
    <w:p>
      <w:pPr>
        <w:ind w:left="620" w:hanging="545"/>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Sina Group Holding Company Limited</w:t>
      </w:r>
    </w:p>
    <w:p>
      <w:pPr>
        <w:spacing w:after="0" w:line="112" w:lineRule="exact"/>
        <w:rPr>
          <w:sz w:val="20"/>
          <w:szCs w:val="20"/>
          <w:color w:val="auto"/>
        </w:rPr>
      </w:pPr>
    </w:p>
    <w:p>
      <w:pPr>
        <w:ind w:left="620" w:hanging="545"/>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39" w:lineRule="exact"/>
        <w:rPr>
          <w:rFonts w:ascii="Times New Roman" w:cs="Times New Roman" w:eastAsia="Times New Roman" w:hAnsi="Times New Roman"/>
          <w:sz w:val="18"/>
          <w:szCs w:val="18"/>
          <w:color w:val="auto"/>
        </w:rPr>
      </w:pPr>
    </w:p>
    <w:p>
      <w:pPr>
        <w:ind w:left="960" w:hanging="345"/>
        <w:spacing w:after="0"/>
        <w:tabs>
          <w:tab w:leader="none" w:pos="960" w:val="left"/>
        </w:tabs>
        <w:numPr>
          <w:ilvl w:val="1"/>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130" w:lineRule="exact"/>
        <w:rPr>
          <w:rFonts w:ascii="Times New Roman" w:cs="Times New Roman" w:eastAsia="Times New Roman" w:hAnsi="Times New Roman"/>
          <w:sz w:val="18"/>
          <w:szCs w:val="18"/>
          <w:color w:val="auto"/>
        </w:rPr>
      </w:pPr>
    </w:p>
    <w:p>
      <w:pPr>
        <w:ind w:left="960" w:hanging="345"/>
        <w:spacing w:after="0"/>
        <w:tabs>
          <w:tab w:leader="none" w:pos="960" w:val="left"/>
        </w:tabs>
        <w:numPr>
          <w:ilvl w:val="1"/>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121" w:lineRule="exact"/>
        <w:rPr>
          <w:sz w:val="20"/>
          <w:szCs w:val="20"/>
          <w:color w:val="auto"/>
        </w:rPr>
      </w:pPr>
    </w:p>
    <w:p>
      <w:pPr>
        <w:ind w:left="620" w:hanging="545"/>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1" w:lineRule="exact"/>
        <w:rPr>
          <w:sz w:val="20"/>
          <w:szCs w:val="20"/>
          <w:color w:val="auto"/>
        </w:rPr>
      </w:pPr>
    </w:p>
    <w:p>
      <w:pPr>
        <w:ind w:left="620" w:right="8000" w:hanging="545"/>
        <w:spacing w:after="0" w:line="282"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tbl>
      <w:tblPr>
        <w:tblLayout w:type="fixed"/>
        <w:tblInd w:w="0" w:type="dxa"/>
        <w:tblCellMar>
          <w:top w:w="0" w:type="dxa"/>
          <w:left w:w="0" w:type="dxa"/>
          <w:bottom w:w="0" w:type="dxa"/>
          <w:right w:w="0" w:type="dxa"/>
        </w:tblCellMar>
      </w:tblPr>
      <w:tr>
        <w:trPr>
          <w:trHeight w:val="267"/>
        </w:trPr>
        <w:tc>
          <w:tcPr>
            <w:tcW w:w="128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top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w:t>
            </w:r>
          </w:p>
        </w:tc>
        <w:tc>
          <w:tcPr>
            <w:tcW w:w="9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7"/>
        </w:trPr>
        <w:tc>
          <w:tcPr>
            <w:tcW w:w="1280" w:type="dxa"/>
            <w:vAlign w:val="bottom"/>
            <w:tcBorders>
              <w:right w:val="single" w:sz="8" w:color="auto"/>
            </w:tcBorders>
            <w:vMerge w:val="continue"/>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300" w:type="dxa"/>
            <w:vAlign w:val="bottom"/>
          </w:tcPr>
          <w:p>
            <w:pPr>
              <w:ind w:left="60"/>
              <w:spacing w:after="0" w:line="217" w:lineRule="exact"/>
              <w:rPr>
                <w:sz w:val="20"/>
                <w:szCs w:val="20"/>
                <w:color w:val="auto"/>
              </w:rPr>
            </w:pPr>
            <w:r>
              <w:rPr>
                <w:rFonts w:ascii="Times New Roman" w:cs="Times New Roman" w:eastAsia="Times New Roman" w:hAnsi="Times New Roman"/>
                <w:sz w:val="16"/>
                <w:szCs w:val="16"/>
                <w:color w:val="auto"/>
              </w:rPr>
              <w:t>87,822,024</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Borders>
              <w:bottom w:val="single" w:sz="8" w:color="auto"/>
              <w:right w:val="single" w:sz="8" w:color="auto"/>
            </w:tcBorders>
          </w:tcPr>
          <w:p>
            <w:pPr>
              <w:spacing w:after="0"/>
              <w:rPr>
                <w:sz w:val="9"/>
                <w:szCs w:val="9"/>
                <w:color w:val="auto"/>
              </w:rPr>
            </w:pPr>
          </w:p>
        </w:tc>
        <w:tc>
          <w:tcPr>
            <w:tcW w:w="9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28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6</w:t>
            </w:r>
          </w:p>
        </w:tc>
        <w:tc>
          <w:tcPr>
            <w:tcW w:w="9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280" w:type="dxa"/>
            <w:vAlign w:val="bottom"/>
            <w:tcBorders>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tcBorders>
              <w:right w:val="single" w:sz="8" w:color="auto"/>
            </w:tcBorders>
            <w:vMerge w:val="continue"/>
          </w:tcPr>
          <w:p>
            <w:pPr>
              <w:spacing w:after="0"/>
              <w:rPr>
                <w:sz w:val="15"/>
                <w:szCs w:val="15"/>
                <w:color w:val="auto"/>
              </w:rPr>
            </w:pPr>
          </w:p>
        </w:tc>
        <w:tc>
          <w:tcPr>
            <w:tcW w:w="9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23"/>
                <w:szCs w:val="23"/>
                <w:color w:val="auto"/>
              </w:rPr>
            </w:pPr>
          </w:p>
        </w:tc>
        <w:tc>
          <w:tcPr>
            <w:tcW w:w="9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28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66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71"/>
        </w:trPr>
        <w:tc>
          <w:tcPr>
            <w:tcW w:w="1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660" w:type="dxa"/>
            <w:vAlign w:val="bottom"/>
            <w:tcBorders>
              <w:right w:val="single" w:sz="8" w:color="auto"/>
            </w:tcBorders>
            <w:vMerge w:val="continue"/>
          </w:tcPr>
          <w:p>
            <w:pPr>
              <w:spacing w:after="0"/>
              <w:rPr>
                <w:sz w:val="6"/>
                <w:szCs w:val="6"/>
                <w:color w:val="auto"/>
              </w:rPr>
            </w:pPr>
          </w:p>
        </w:tc>
        <w:tc>
          <w:tcPr>
            <w:tcW w:w="9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28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300" w:type="dxa"/>
            <w:vAlign w:val="bottom"/>
            <w:vMerge w:val="restart"/>
          </w:tcPr>
          <w:p>
            <w:pPr>
              <w:ind w:left="60"/>
              <w:spacing w:after="0" w:line="324" w:lineRule="exact"/>
              <w:rPr>
                <w:sz w:val="20"/>
                <w:szCs w:val="20"/>
                <w:color w:val="auto"/>
              </w:rPr>
            </w:pPr>
            <w:r>
              <w:rPr>
                <w:rFonts w:ascii="Times New Roman" w:cs="Times New Roman" w:eastAsia="Times New Roman" w:hAnsi="Times New Roman"/>
                <w:sz w:val="18"/>
                <w:szCs w:val="18"/>
                <w:color w:val="auto"/>
              </w:rPr>
              <w:t>87,822,024</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94"/>
        </w:trPr>
        <w:tc>
          <w:tcPr>
            <w:tcW w:w="1280" w:type="dxa"/>
            <w:vAlign w:val="bottom"/>
            <w:tcBorders>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18"/>
                <w:szCs w:val="18"/>
                <w:color w:val="auto"/>
              </w:rPr>
              <w:t>Person</w:t>
            </w:r>
          </w:p>
        </w:tc>
        <w:tc>
          <w:tcPr>
            <w:tcW w:w="660" w:type="dxa"/>
            <w:vAlign w:val="bottom"/>
            <w:tcBorders>
              <w:bottom w:val="single" w:sz="8" w:color="auto"/>
              <w:right w:val="single" w:sz="8" w:color="auto"/>
            </w:tcBorders>
          </w:tcPr>
          <w:p>
            <w:pPr>
              <w:spacing w:after="0"/>
              <w:rPr>
                <w:sz w:val="16"/>
                <w:szCs w:val="16"/>
                <w:color w:val="auto"/>
              </w:rPr>
            </w:pPr>
          </w:p>
        </w:tc>
        <w:tc>
          <w:tcPr>
            <w:tcW w:w="9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w:t>
            </w:r>
          </w:p>
        </w:tc>
        <w:tc>
          <w:tcPr>
            <w:tcW w:w="66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9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28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9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right="5800" w:hanging="565"/>
        <w:spacing w:after="0" w:line="27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87,822,024</w:t>
      </w:r>
      <w:r>
        <w:rPr>
          <w:rFonts w:ascii="Times New Roman" w:cs="Times New Roman" w:eastAsia="Times New Roman" w:hAnsi="Times New Roman"/>
          <w:sz w:val="29"/>
          <w:szCs w:val="29"/>
          <w:color w:val="auto"/>
          <w:vertAlign w:val="superscript"/>
        </w:rPr>
        <w:t>(1)</w:t>
      </w:r>
    </w:p>
    <w:p>
      <w:pPr>
        <w:ind w:left="640" w:hanging="565"/>
        <w:spacing w:after="0"/>
        <w:tabs>
          <w:tab w:leader="none" w:pos="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Wingdings" w:cs="Wingdings" w:eastAsia="Wingdings" w:hAnsi="Wingdings"/>
          <w:sz w:val="18"/>
          <w:szCs w:val="18"/>
          <w:b w:val="1"/>
          <w:bCs w:val="1"/>
          <w:color w:val="auto"/>
        </w:rPr>
        <w:t>o</w:t>
      </w:r>
    </w:p>
    <w:p>
      <w:pPr>
        <w:spacing w:after="0" w:line="111" w:lineRule="exact"/>
        <w:rPr>
          <w:rFonts w:ascii="Times New Roman" w:cs="Times New Roman" w:eastAsia="Times New Roman" w:hAnsi="Times New Roman"/>
          <w:sz w:val="18"/>
          <w:szCs w:val="18"/>
          <w:color w:val="auto"/>
        </w:rPr>
      </w:pPr>
    </w:p>
    <w:p>
      <w:pPr>
        <w:ind w:left="640" w:hanging="565"/>
        <w:spacing w:after="0"/>
        <w:tabs>
          <w:tab w:leader="none" w:pos="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640"/>
        <w:spacing w:after="0" w:line="1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bscript"/>
        </w:rPr>
        <w:t>36.2%</w:t>
      </w:r>
      <w:r>
        <w:rPr>
          <w:rFonts w:ascii="Times New Roman" w:cs="Times New Roman" w:eastAsia="Times New Roman" w:hAnsi="Times New Roman"/>
          <w:sz w:val="13"/>
          <w:szCs w:val="13"/>
          <w:color w:val="auto"/>
        </w:rPr>
        <w:t>(1)(2)</w:t>
      </w:r>
    </w:p>
    <w:p>
      <w:pPr>
        <w:spacing w:after="0" w:line="103" w:lineRule="exact"/>
        <w:rPr>
          <w:rFonts w:ascii="Times New Roman" w:cs="Times New Roman" w:eastAsia="Times New Roman" w:hAnsi="Times New Roman"/>
          <w:sz w:val="18"/>
          <w:szCs w:val="18"/>
          <w:color w:val="auto"/>
        </w:rPr>
      </w:pPr>
    </w:p>
    <w:p>
      <w:pPr>
        <w:ind w:left="640" w:hanging="565"/>
        <w:spacing w:after="0"/>
        <w:tabs>
          <w:tab w:leader="none" w:pos="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0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87,822,024 Class B ordinary shares held by Sina Corporation, which are convertible into 87,822,024 Class A ordinary shares.</w:t>
      </w:r>
    </w:p>
    <w:p>
      <w:pPr>
        <w:spacing w:after="0" w:line="22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242,610,942 Class A ordinary shares outstanding as of December 31, 2023, assuming all Class B ordinary shares held by such reporting person are converted into the same number of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-588010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948596 101</w:t>
      </w:r>
      <w:r>
        <w:rPr>
          <w:sz w:val="20"/>
          <w:szCs w:val="20"/>
          <w:color w:val="auto"/>
        </w:rPr>
        <w:tab/>
      </w:r>
      <w:r>
        <w:rPr>
          <w:rFonts w:ascii="Times New Roman" w:cs="Times New Roman" w:eastAsia="Times New Roman" w:hAnsi="Times New Roman"/>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45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45940"/>
                    </a:xfrm>
                    <a:prstGeom prst="rect">
                      <a:avLst/>
                    </a:prstGeom>
                    <a:noFill/>
                  </pic:spPr>
                </pic:pic>
              </a:graphicData>
            </a:graphic>
          </wp:anchor>
        </w:drawing>
      </w:r>
    </w:p>
    <w:p>
      <w:pPr>
        <w:spacing w:after="0" w:line="273" w:lineRule="exact"/>
        <w:rPr>
          <w:sz w:val="20"/>
          <w:szCs w:val="20"/>
          <w:color w:val="auto"/>
        </w:rPr>
      </w:pPr>
    </w:p>
    <w:p>
      <w:pPr>
        <w:jc w:val="both"/>
        <w:ind w:left="620" w:right="8600" w:hanging="545"/>
        <w:spacing w:after="0" w:line="312"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New Wave MMXV Limited</w:t>
      </w:r>
    </w:p>
    <w:p>
      <w:pPr>
        <w:spacing w:after="0" w:line="45" w:lineRule="exact"/>
        <w:rPr>
          <w:sz w:val="20"/>
          <w:szCs w:val="20"/>
          <w:color w:val="auto"/>
        </w:rPr>
      </w:pPr>
    </w:p>
    <w:p>
      <w:pPr>
        <w:ind w:left="620" w:hanging="545"/>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39" w:lineRule="exact"/>
        <w:rPr>
          <w:rFonts w:ascii="Times New Roman" w:cs="Times New Roman" w:eastAsia="Times New Roman" w:hAnsi="Times New Roman"/>
          <w:sz w:val="18"/>
          <w:szCs w:val="18"/>
          <w:color w:val="auto"/>
        </w:rPr>
      </w:pPr>
    </w:p>
    <w:p>
      <w:pPr>
        <w:ind w:left="960" w:hanging="345"/>
        <w:spacing w:after="0"/>
        <w:tabs>
          <w:tab w:leader="none" w:pos="960" w:val="left"/>
        </w:tabs>
        <w:numPr>
          <w:ilvl w:val="1"/>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130" w:lineRule="exact"/>
        <w:rPr>
          <w:rFonts w:ascii="Times New Roman" w:cs="Times New Roman" w:eastAsia="Times New Roman" w:hAnsi="Times New Roman"/>
          <w:sz w:val="18"/>
          <w:szCs w:val="18"/>
          <w:color w:val="auto"/>
        </w:rPr>
      </w:pPr>
    </w:p>
    <w:p>
      <w:pPr>
        <w:ind w:left="960" w:hanging="345"/>
        <w:spacing w:after="0"/>
        <w:tabs>
          <w:tab w:leader="none" w:pos="960" w:val="left"/>
        </w:tabs>
        <w:numPr>
          <w:ilvl w:val="1"/>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121" w:lineRule="exact"/>
        <w:rPr>
          <w:sz w:val="20"/>
          <w:szCs w:val="20"/>
          <w:color w:val="auto"/>
        </w:rPr>
      </w:pPr>
    </w:p>
    <w:p>
      <w:pPr>
        <w:ind w:left="620" w:hanging="545"/>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1" w:lineRule="exact"/>
        <w:rPr>
          <w:sz w:val="20"/>
          <w:szCs w:val="20"/>
          <w:color w:val="auto"/>
        </w:rPr>
      </w:pPr>
    </w:p>
    <w:p>
      <w:pPr>
        <w:ind w:left="620" w:right="8000" w:hanging="545"/>
        <w:spacing w:after="0" w:line="282"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British Virgin Islands</w:t>
      </w:r>
    </w:p>
    <w:tbl>
      <w:tblPr>
        <w:tblLayout w:type="fixed"/>
        <w:tblInd w:w="0" w:type="dxa"/>
        <w:tblCellMar>
          <w:top w:w="0" w:type="dxa"/>
          <w:left w:w="0" w:type="dxa"/>
          <w:bottom w:w="0" w:type="dxa"/>
          <w:right w:w="0" w:type="dxa"/>
        </w:tblCellMar>
      </w:tblPr>
      <w:tr>
        <w:trPr>
          <w:trHeight w:val="267"/>
        </w:trPr>
        <w:tc>
          <w:tcPr>
            <w:tcW w:w="128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top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w:t>
            </w:r>
          </w:p>
        </w:tc>
        <w:tc>
          <w:tcPr>
            <w:tcW w:w="9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7"/>
        </w:trPr>
        <w:tc>
          <w:tcPr>
            <w:tcW w:w="1280" w:type="dxa"/>
            <w:vAlign w:val="bottom"/>
            <w:tcBorders>
              <w:right w:val="single" w:sz="8" w:color="auto"/>
            </w:tcBorders>
            <w:vMerge w:val="continue"/>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300" w:type="dxa"/>
            <w:vAlign w:val="bottom"/>
          </w:tcPr>
          <w:p>
            <w:pPr>
              <w:ind w:left="60"/>
              <w:spacing w:after="0" w:line="217" w:lineRule="exact"/>
              <w:rPr>
                <w:sz w:val="20"/>
                <w:szCs w:val="20"/>
                <w:color w:val="auto"/>
              </w:rPr>
            </w:pPr>
            <w:r>
              <w:rPr>
                <w:rFonts w:ascii="Times New Roman" w:cs="Times New Roman" w:eastAsia="Times New Roman" w:hAnsi="Times New Roman"/>
                <w:sz w:val="16"/>
                <w:szCs w:val="16"/>
                <w:color w:val="auto"/>
              </w:rPr>
              <w:t>87,822,024</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Borders>
              <w:bottom w:val="single" w:sz="8" w:color="auto"/>
              <w:right w:val="single" w:sz="8" w:color="auto"/>
            </w:tcBorders>
          </w:tcPr>
          <w:p>
            <w:pPr>
              <w:spacing w:after="0"/>
              <w:rPr>
                <w:sz w:val="9"/>
                <w:szCs w:val="9"/>
                <w:color w:val="auto"/>
              </w:rPr>
            </w:pPr>
          </w:p>
        </w:tc>
        <w:tc>
          <w:tcPr>
            <w:tcW w:w="9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28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6</w:t>
            </w:r>
          </w:p>
        </w:tc>
        <w:tc>
          <w:tcPr>
            <w:tcW w:w="9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280" w:type="dxa"/>
            <w:vAlign w:val="bottom"/>
            <w:tcBorders>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tcBorders>
              <w:right w:val="single" w:sz="8" w:color="auto"/>
            </w:tcBorders>
            <w:vMerge w:val="continue"/>
          </w:tcPr>
          <w:p>
            <w:pPr>
              <w:spacing w:after="0"/>
              <w:rPr>
                <w:sz w:val="15"/>
                <w:szCs w:val="15"/>
                <w:color w:val="auto"/>
              </w:rPr>
            </w:pPr>
          </w:p>
        </w:tc>
        <w:tc>
          <w:tcPr>
            <w:tcW w:w="9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23"/>
                <w:szCs w:val="23"/>
                <w:color w:val="auto"/>
              </w:rPr>
            </w:pPr>
          </w:p>
        </w:tc>
        <w:tc>
          <w:tcPr>
            <w:tcW w:w="9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28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66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71"/>
        </w:trPr>
        <w:tc>
          <w:tcPr>
            <w:tcW w:w="1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660" w:type="dxa"/>
            <w:vAlign w:val="bottom"/>
            <w:tcBorders>
              <w:right w:val="single" w:sz="8" w:color="auto"/>
            </w:tcBorders>
            <w:vMerge w:val="continue"/>
          </w:tcPr>
          <w:p>
            <w:pPr>
              <w:spacing w:after="0"/>
              <w:rPr>
                <w:sz w:val="6"/>
                <w:szCs w:val="6"/>
                <w:color w:val="auto"/>
              </w:rPr>
            </w:pPr>
          </w:p>
        </w:tc>
        <w:tc>
          <w:tcPr>
            <w:tcW w:w="9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28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300" w:type="dxa"/>
            <w:vAlign w:val="bottom"/>
            <w:vMerge w:val="restart"/>
          </w:tcPr>
          <w:p>
            <w:pPr>
              <w:ind w:left="60"/>
              <w:spacing w:after="0" w:line="324" w:lineRule="exact"/>
              <w:rPr>
                <w:sz w:val="20"/>
                <w:szCs w:val="20"/>
                <w:color w:val="auto"/>
              </w:rPr>
            </w:pPr>
            <w:r>
              <w:rPr>
                <w:rFonts w:ascii="Times New Roman" w:cs="Times New Roman" w:eastAsia="Times New Roman" w:hAnsi="Times New Roman"/>
                <w:sz w:val="18"/>
                <w:szCs w:val="18"/>
                <w:color w:val="auto"/>
              </w:rPr>
              <w:t>87,822,024</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94"/>
        </w:trPr>
        <w:tc>
          <w:tcPr>
            <w:tcW w:w="1280" w:type="dxa"/>
            <w:vAlign w:val="bottom"/>
            <w:tcBorders>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18"/>
                <w:szCs w:val="18"/>
                <w:color w:val="auto"/>
              </w:rPr>
              <w:t>Person</w:t>
            </w:r>
          </w:p>
        </w:tc>
        <w:tc>
          <w:tcPr>
            <w:tcW w:w="660" w:type="dxa"/>
            <w:vAlign w:val="bottom"/>
            <w:tcBorders>
              <w:bottom w:val="single" w:sz="8" w:color="auto"/>
              <w:right w:val="single" w:sz="8" w:color="auto"/>
            </w:tcBorders>
          </w:tcPr>
          <w:p>
            <w:pPr>
              <w:spacing w:after="0"/>
              <w:rPr>
                <w:sz w:val="16"/>
                <w:szCs w:val="16"/>
                <w:color w:val="auto"/>
              </w:rPr>
            </w:pPr>
          </w:p>
        </w:tc>
        <w:tc>
          <w:tcPr>
            <w:tcW w:w="9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w:t>
            </w:r>
          </w:p>
        </w:tc>
        <w:tc>
          <w:tcPr>
            <w:tcW w:w="66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9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28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9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right="5800" w:hanging="565"/>
        <w:spacing w:after="0" w:line="272"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87,822,024</w:t>
      </w:r>
      <w:r>
        <w:rPr>
          <w:rFonts w:ascii="Times New Roman" w:cs="Times New Roman" w:eastAsia="Times New Roman" w:hAnsi="Times New Roman"/>
          <w:sz w:val="29"/>
          <w:szCs w:val="29"/>
          <w:color w:val="auto"/>
          <w:vertAlign w:val="superscript"/>
        </w:rPr>
        <w:t>(1)</w:t>
      </w:r>
    </w:p>
    <w:p>
      <w:pPr>
        <w:ind w:left="640" w:hanging="565"/>
        <w:spacing w:after="0"/>
        <w:tabs>
          <w:tab w:leader="none" w:pos="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Wingdings" w:cs="Wingdings" w:eastAsia="Wingdings" w:hAnsi="Wingdings"/>
          <w:sz w:val="18"/>
          <w:szCs w:val="18"/>
          <w:b w:val="1"/>
          <w:bCs w:val="1"/>
          <w:color w:val="auto"/>
        </w:rPr>
        <w:t>o</w:t>
      </w:r>
    </w:p>
    <w:p>
      <w:pPr>
        <w:spacing w:after="0" w:line="111" w:lineRule="exact"/>
        <w:rPr>
          <w:rFonts w:ascii="Times New Roman" w:cs="Times New Roman" w:eastAsia="Times New Roman" w:hAnsi="Times New Roman"/>
          <w:sz w:val="18"/>
          <w:szCs w:val="18"/>
          <w:color w:val="auto"/>
        </w:rPr>
      </w:pPr>
    </w:p>
    <w:p>
      <w:pPr>
        <w:ind w:left="640" w:hanging="565"/>
        <w:spacing w:after="0"/>
        <w:tabs>
          <w:tab w:leader="none" w:pos="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640"/>
        <w:spacing w:after="0" w:line="1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bscript"/>
        </w:rPr>
        <w:t>36.2%</w:t>
      </w:r>
      <w:r>
        <w:rPr>
          <w:rFonts w:ascii="Times New Roman" w:cs="Times New Roman" w:eastAsia="Times New Roman" w:hAnsi="Times New Roman"/>
          <w:sz w:val="13"/>
          <w:szCs w:val="13"/>
          <w:color w:val="auto"/>
        </w:rPr>
        <w:t>(1)(2)</w:t>
      </w:r>
    </w:p>
    <w:p>
      <w:pPr>
        <w:spacing w:after="0" w:line="103" w:lineRule="exact"/>
        <w:rPr>
          <w:rFonts w:ascii="Times New Roman" w:cs="Times New Roman" w:eastAsia="Times New Roman" w:hAnsi="Times New Roman"/>
          <w:sz w:val="18"/>
          <w:szCs w:val="18"/>
          <w:color w:val="auto"/>
        </w:rPr>
      </w:pPr>
    </w:p>
    <w:p>
      <w:pPr>
        <w:ind w:left="640" w:hanging="565"/>
        <w:spacing w:after="0"/>
        <w:tabs>
          <w:tab w:leader="none" w:pos="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0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87,822,024 Class B ordinary shares held by Sina Corporation, which are convertible into 87,822,024 Class A ordinary shares.</w:t>
      </w:r>
    </w:p>
    <w:p>
      <w:pPr>
        <w:spacing w:after="0" w:line="22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242,610,942 Class A ordinary shares outstanding as of December 31, 2023, assuming all Class B ordinary shares held by such reporting person are converted into the same number of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-588010</wp:posOffset>
            </wp:positionV>
            <wp:extent cx="1783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4"/>
        </w:trPr>
        <w:tc>
          <w:tcPr>
            <w:tcW w:w="1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948596 101</w:t>
            </w:r>
          </w:p>
        </w:tc>
        <w:tc>
          <w:tcPr>
            <w:tcW w:w="9300" w:type="dxa"/>
            <w:vAlign w:val="bottom"/>
          </w:tcPr>
          <w:p>
            <w:pPr>
              <w:ind w:left="8480"/>
              <w:spacing w:after="0"/>
              <w:rPr>
                <w:sz w:val="20"/>
                <w:szCs w:val="20"/>
                <w:color w:val="auto"/>
              </w:rPr>
            </w:pPr>
            <w:r>
              <w:rPr>
                <w:rFonts w:ascii="Times New Roman" w:cs="Times New Roman" w:eastAsia="Times New Roman" w:hAnsi="Times New Roman"/>
                <w:sz w:val="18"/>
                <w:szCs w:val="18"/>
                <w:color w:val="auto"/>
                <w:w w:val="95"/>
              </w:rPr>
              <w:t>Page 5 of 9</w:t>
            </w:r>
          </w:p>
        </w:tc>
        <w:tc>
          <w:tcPr>
            <w:tcW w:w="0" w:type="dxa"/>
            <w:vAlign w:val="bottom"/>
          </w:tcPr>
          <w:p>
            <w:pPr>
              <w:spacing w:after="0"/>
              <w:rPr>
                <w:sz w:val="1"/>
                <w:szCs w:val="1"/>
                <w:color w:val="auto"/>
              </w:rPr>
            </w:pPr>
          </w:p>
        </w:tc>
      </w:tr>
      <w:tr>
        <w:trPr>
          <w:trHeight w:val="216"/>
        </w:trPr>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1066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right w:val="single" w:sz="8" w:color="auto"/>
            </w:tcBorders>
          </w:tcPr>
          <w:p>
            <w:pPr>
              <w:spacing w:after="0"/>
              <w:rPr>
                <w:sz w:val="20"/>
                <w:szCs w:val="20"/>
                <w:color w:val="auto"/>
              </w:rPr>
            </w:pPr>
          </w:p>
        </w:tc>
        <w:tc>
          <w:tcPr>
            <w:tcW w:w="1066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Chao Charles Guowei</w:t>
            </w:r>
          </w:p>
        </w:tc>
        <w:tc>
          <w:tcPr>
            <w:tcW w:w="0" w:type="dxa"/>
            <w:vAlign w:val="bottom"/>
          </w:tcPr>
          <w:p>
            <w:pPr>
              <w:spacing w:after="0"/>
              <w:rPr>
                <w:sz w:val="1"/>
                <w:szCs w:val="1"/>
                <w:color w:val="auto"/>
              </w:rPr>
            </w:pPr>
          </w:p>
        </w:tc>
      </w:tr>
      <w:tr>
        <w:trPr>
          <w:trHeight w:val="54"/>
        </w:trPr>
        <w:tc>
          <w:tcPr>
            <w:tcW w:w="580" w:type="dxa"/>
            <w:vAlign w:val="bottom"/>
            <w:tcBorders>
              <w:left w:val="single" w:sz="8" w:color="auto"/>
              <w:bottom w:val="single" w:sz="8" w:color="auto"/>
              <w:right w:val="single" w:sz="8" w:color="auto"/>
            </w:tcBorders>
          </w:tcPr>
          <w:p>
            <w:pPr>
              <w:spacing w:after="0"/>
              <w:rPr>
                <w:sz w:val="4"/>
                <w:szCs w:val="4"/>
                <w:color w:val="auto"/>
              </w:rPr>
            </w:pPr>
          </w:p>
        </w:tc>
        <w:tc>
          <w:tcPr>
            <w:tcW w:w="700" w:type="dxa"/>
            <w:vAlign w:val="bottom"/>
            <w:tcBorders>
              <w:bottom w:val="single" w:sz="8" w:color="auto"/>
            </w:tcBorders>
            <w:gridSpan w:val="3"/>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1066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54"/>
        </w:trPr>
        <w:tc>
          <w:tcPr>
            <w:tcW w:w="580" w:type="dxa"/>
            <w:vAlign w:val="bottom"/>
            <w:tcBorders>
              <w:left w:val="single" w:sz="8" w:color="auto"/>
              <w:right w:val="single" w:sz="8" w:color="auto"/>
            </w:tcBorders>
          </w:tcPr>
          <w:p>
            <w:pPr>
              <w:spacing w:after="0"/>
              <w:rPr>
                <w:sz w:val="4"/>
                <w:szCs w:val="4"/>
                <w:color w:val="auto"/>
              </w:rPr>
            </w:pPr>
          </w:p>
        </w:tc>
        <w:tc>
          <w:tcPr>
            <w:tcW w:w="3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80" w:type="dxa"/>
            <w:vAlign w:val="bottom"/>
            <w:tcBorders>
              <w:left w:val="single" w:sz="8" w:color="auto"/>
              <w:right w:val="single" w:sz="8" w:color="auto"/>
            </w:tcBorders>
          </w:tcPr>
          <w:p>
            <w:pPr>
              <w:spacing w:after="0"/>
              <w:rPr>
                <w:sz w:val="22"/>
                <w:szCs w:val="22"/>
                <w:color w:val="auto"/>
              </w:rPr>
            </w:pP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60" w:type="dxa"/>
            <w:vAlign w:val="bottom"/>
          </w:tcPr>
          <w:p>
            <w:pPr>
              <w:spacing w:after="0"/>
              <w:rPr>
                <w:sz w:val="22"/>
                <w:szCs w:val="22"/>
                <w:color w:val="auto"/>
              </w:rPr>
            </w:pPr>
          </w:p>
        </w:tc>
        <w:tc>
          <w:tcPr>
            <w:tcW w:w="980" w:type="dxa"/>
            <w:vAlign w:val="bottom"/>
            <w:gridSpan w:val="2"/>
          </w:tcPr>
          <w:p>
            <w:pPr>
              <w:jc w:val="right"/>
              <w:ind w:right="730"/>
              <w:spacing w:after="0"/>
              <w:rPr>
                <w:sz w:val="20"/>
                <w:szCs w:val="20"/>
                <w:color w:val="auto"/>
              </w:rPr>
            </w:pPr>
            <w:r>
              <w:rPr>
                <w:rFonts w:ascii="Wingdings" w:cs="Wingdings" w:eastAsia="Wingdings" w:hAnsi="Wingdings"/>
                <w:sz w:val="18"/>
                <w:szCs w:val="18"/>
                <w:b w:val="1"/>
                <w:bCs w:val="1"/>
                <w:color w:val="auto"/>
                <w:w w:val="86"/>
              </w:rPr>
              <w:t>o</w:t>
            </w:r>
          </w:p>
        </w:tc>
        <w:tc>
          <w:tcPr>
            <w:tcW w:w="9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580" w:type="dxa"/>
            <w:vAlign w:val="bottom"/>
            <w:tcBorders>
              <w:left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80" w:type="dxa"/>
            <w:vAlign w:val="bottom"/>
            <w:tcBorders>
              <w:left w:val="single" w:sz="8" w:color="auto"/>
              <w:right w:val="single" w:sz="8" w:color="auto"/>
            </w:tcBorders>
          </w:tcPr>
          <w:p>
            <w:pPr>
              <w:spacing w:after="0"/>
              <w:rPr>
                <w:sz w:val="22"/>
                <w:szCs w:val="22"/>
                <w:color w:val="auto"/>
              </w:rPr>
            </w:pP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60" w:type="dxa"/>
            <w:vAlign w:val="bottom"/>
          </w:tcPr>
          <w:p>
            <w:pPr>
              <w:spacing w:after="0"/>
              <w:rPr>
                <w:sz w:val="22"/>
                <w:szCs w:val="22"/>
                <w:color w:val="auto"/>
              </w:rPr>
            </w:pPr>
          </w:p>
        </w:tc>
        <w:tc>
          <w:tcPr>
            <w:tcW w:w="980" w:type="dxa"/>
            <w:vAlign w:val="bottom"/>
            <w:gridSpan w:val="2"/>
          </w:tcPr>
          <w:p>
            <w:pPr>
              <w:jc w:val="right"/>
              <w:ind w:right="730"/>
              <w:spacing w:after="0"/>
              <w:rPr>
                <w:sz w:val="20"/>
                <w:szCs w:val="20"/>
                <w:color w:val="auto"/>
              </w:rPr>
            </w:pPr>
            <w:r>
              <w:rPr>
                <w:rFonts w:ascii="Wingdings" w:cs="Wingdings" w:eastAsia="Wingdings" w:hAnsi="Wingdings"/>
                <w:sz w:val="18"/>
                <w:szCs w:val="18"/>
                <w:b w:val="1"/>
                <w:bCs w:val="1"/>
                <w:color w:val="auto"/>
                <w:w w:val="86"/>
              </w:rPr>
              <w:t>o</w:t>
            </w:r>
          </w:p>
        </w:tc>
        <w:tc>
          <w:tcPr>
            <w:tcW w:w="9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580" w:type="dxa"/>
            <w:vAlign w:val="bottom"/>
            <w:tcBorders>
              <w:left w:val="single" w:sz="8" w:color="auto"/>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580" w:type="dxa"/>
            <w:vAlign w:val="bottom"/>
            <w:tcBorders>
              <w:left w:val="single" w:sz="8" w:color="auto"/>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1066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right w:val="single" w:sz="8" w:color="auto"/>
            </w:tcBorders>
          </w:tcPr>
          <w:p>
            <w:pPr>
              <w:spacing w:after="0"/>
              <w:rPr>
                <w:sz w:val="20"/>
                <w:szCs w:val="20"/>
                <w:color w:val="auto"/>
              </w:rPr>
            </w:pPr>
          </w:p>
        </w:tc>
        <w:tc>
          <w:tcPr>
            <w:tcW w:w="1066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Hong Kong SAR, PRC</w:t>
            </w:r>
          </w:p>
        </w:tc>
        <w:tc>
          <w:tcPr>
            <w:tcW w:w="0" w:type="dxa"/>
            <w:vAlign w:val="bottom"/>
          </w:tcPr>
          <w:p>
            <w:pPr>
              <w:spacing w:after="0"/>
              <w:rPr>
                <w:sz w:val="1"/>
                <w:szCs w:val="1"/>
                <w:color w:val="auto"/>
              </w:rPr>
            </w:pPr>
          </w:p>
        </w:tc>
      </w:tr>
      <w:tr>
        <w:trPr>
          <w:trHeight w:val="54"/>
        </w:trPr>
        <w:tc>
          <w:tcPr>
            <w:tcW w:w="580" w:type="dxa"/>
            <w:vAlign w:val="bottom"/>
            <w:tcBorders>
              <w:left w:val="single" w:sz="8" w:color="auto"/>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960" w:type="dxa"/>
            <w:vAlign w:val="bottom"/>
            <w:tcBorders>
              <w:lef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w:t>
            </w:r>
          </w:p>
        </w:tc>
        <w:tc>
          <w:tcPr>
            <w:tcW w:w="9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7"/>
        </w:trPr>
        <w:tc>
          <w:tcPr>
            <w:tcW w:w="960" w:type="dxa"/>
            <w:vAlign w:val="bottom"/>
            <w:tcBorders>
              <w:left w:val="single" w:sz="8" w:color="auto"/>
            </w:tcBorders>
            <w:gridSpan w:val="3"/>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tcPr>
          <w:p>
            <w:pPr>
              <w:ind w:left="60"/>
              <w:spacing w:after="0" w:line="217" w:lineRule="exact"/>
              <w:rPr>
                <w:sz w:val="20"/>
                <w:szCs w:val="20"/>
                <w:color w:val="auto"/>
              </w:rPr>
            </w:pPr>
            <w:r>
              <w:rPr>
                <w:rFonts w:ascii="Times New Roman" w:cs="Times New Roman" w:eastAsia="Times New Roman" w:hAnsi="Times New Roman"/>
                <w:sz w:val="16"/>
                <w:szCs w:val="16"/>
                <w:color w:val="auto"/>
              </w:rPr>
              <w:t>88,405,034</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108"/>
        </w:trPr>
        <w:tc>
          <w:tcPr>
            <w:tcW w:w="58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w w:val="95"/>
              </w:rPr>
              <w:t>Shares</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9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580" w:type="dxa"/>
            <w:vAlign w:val="bottom"/>
            <w:tcBorders>
              <w:left w:val="single" w:sz="8" w:color="auto"/>
            </w:tcBorders>
            <w:vMerge w:val="continue"/>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6</w:t>
            </w:r>
          </w:p>
        </w:tc>
        <w:tc>
          <w:tcPr>
            <w:tcW w:w="93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960" w:type="dxa"/>
            <w:vAlign w:val="bottom"/>
            <w:tcBorders>
              <w:lef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w w:val="97"/>
              </w:rPr>
              <w:t>Beneficially</w:t>
            </w:r>
          </w:p>
        </w:tc>
        <w:tc>
          <w:tcPr>
            <w:tcW w:w="32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93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96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Owned by</w:t>
            </w:r>
          </w:p>
        </w:tc>
        <w:tc>
          <w:tcPr>
            <w:tcW w:w="320" w:type="dxa"/>
            <w:vAlign w:val="bottom"/>
            <w:tcBorders>
              <w:right w:val="single" w:sz="8" w:color="auto"/>
            </w:tcBorders>
          </w:tcPr>
          <w:p>
            <w:pPr>
              <w:spacing w:after="0"/>
              <w:rPr>
                <w:sz w:val="23"/>
                <w:szCs w:val="23"/>
                <w:color w:val="auto"/>
              </w:rPr>
            </w:pPr>
          </w:p>
        </w:tc>
        <w:tc>
          <w:tcPr>
            <w:tcW w:w="660" w:type="dxa"/>
            <w:vAlign w:val="bottom"/>
            <w:tcBorders>
              <w:bottom w:val="single" w:sz="8" w:color="auto"/>
              <w:right w:val="single" w:sz="8" w:color="auto"/>
            </w:tcBorders>
          </w:tcPr>
          <w:p>
            <w:pPr>
              <w:spacing w:after="0"/>
              <w:rPr>
                <w:sz w:val="23"/>
                <w:szCs w:val="23"/>
                <w:color w:val="auto"/>
              </w:rPr>
            </w:pPr>
          </w:p>
        </w:tc>
        <w:tc>
          <w:tcPr>
            <w:tcW w:w="9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71"/>
        </w:trPr>
        <w:tc>
          <w:tcPr>
            <w:tcW w:w="960" w:type="dxa"/>
            <w:vAlign w:val="bottom"/>
            <w:tcBorders>
              <w:lef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32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93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960" w:type="dxa"/>
            <w:vAlign w:val="bottom"/>
            <w:tcBorders>
              <w:left w:val="single" w:sz="8" w:color="auto"/>
            </w:tcBorders>
            <w:gridSpan w:val="3"/>
            <w:vMerge w:val="continue"/>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300" w:type="dxa"/>
            <w:vAlign w:val="bottom"/>
            <w:tcBorders>
              <w:right w:val="single" w:sz="8" w:color="auto"/>
            </w:tcBorders>
            <w:vMerge w:val="restart"/>
          </w:tcPr>
          <w:p>
            <w:pPr>
              <w:ind w:left="60"/>
              <w:spacing w:after="0" w:line="324" w:lineRule="exact"/>
              <w:rPr>
                <w:sz w:val="20"/>
                <w:szCs w:val="20"/>
                <w:color w:val="auto"/>
              </w:rPr>
            </w:pPr>
            <w:r>
              <w:rPr>
                <w:rFonts w:ascii="Times New Roman" w:cs="Times New Roman" w:eastAsia="Times New Roman" w:hAnsi="Times New Roman"/>
                <w:sz w:val="18"/>
                <w:szCs w:val="18"/>
                <w:color w:val="auto"/>
              </w:rPr>
              <w:t>88,405,034</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94"/>
        </w:trPr>
        <w:tc>
          <w:tcPr>
            <w:tcW w:w="580" w:type="dxa"/>
            <w:vAlign w:val="bottom"/>
            <w:tcBorders>
              <w:left w:val="single" w:sz="8" w:color="auto"/>
            </w:tcBorders>
          </w:tcPr>
          <w:p>
            <w:pPr>
              <w:ind w:left="80"/>
              <w:spacing w:after="0" w:line="194" w:lineRule="exact"/>
              <w:rPr>
                <w:sz w:val="20"/>
                <w:szCs w:val="20"/>
                <w:color w:val="auto"/>
              </w:rPr>
            </w:pPr>
            <w:r>
              <w:rPr>
                <w:rFonts w:ascii="Times New Roman" w:cs="Times New Roman" w:eastAsia="Times New Roman" w:hAnsi="Times New Roman"/>
                <w:sz w:val="18"/>
                <w:szCs w:val="18"/>
                <w:color w:val="auto"/>
                <w:w w:val="93"/>
              </w:rPr>
              <w:t>Person</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93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9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580" w:type="dxa"/>
            <w:vAlign w:val="bottom"/>
            <w:tcBorders>
              <w:left w:val="single" w:sz="8" w:color="auto"/>
              <w:bottom w:val="single" w:sz="8" w:color="auto"/>
            </w:tcBorders>
          </w:tcPr>
          <w:p>
            <w:pPr>
              <w:spacing w:after="0"/>
              <w:rPr>
                <w:sz w:val="4"/>
                <w:szCs w:val="4"/>
                <w:color w:val="auto"/>
              </w:rPr>
            </w:pPr>
          </w:p>
        </w:tc>
        <w:tc>
          <w:tcPr>
            <w:tcW w:w="700" w:type="dxa"/>
            <w:vAlign w:val="bottom"/>
            <w:tcBorders>
              <w:bottom w:val="single" w:sz="8" w:color="auto"/>
              <w:right w:val="single" w:sz="8" w:color="auto"/>
            </w:tcBorders>
            <w:gridSpan w:val="3"/>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9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10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25"/>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4"/>
          </w:tcPr>
          <w:p>
            <w:pPr>
              <w:ind w:left="60"/>
              <w:spacing w:after="0" w:line="324" w:lineRule="exact"/>
              <w:rPr>
                <w:sz w:val="20"/>
                <w:szCs w:val="20"/>
                <w:color w:val="auto"/>
              </w:rPr>
            </w:pPr>
            <w:r>
              <w:rPr>
                <w:rFonts w:ascii="Times New Roman" w:cs="Times New Roman" w:eastAsia="Times New Roman" w:hAnsi="Times New Roman"/>
                <w:sz w:val="18"/>
                <w:szCs w:val="18"/>
                <w:color w:val="auto"/>
              </w:rPr>
              <w:t>88,405,034</w:t>
            </w:r>
            <w:r>
              <w:rPr>
                <w:rFonts w:ascii="Times New Roman" w:cs="Times New Roman" w:eastAsia="Times New Roman" w:hAnsi="Times New Roman"/>
                <w:sz w:val="29"/>
                <w:szCs w:val="29"/>
                <w:color w:val="auto"/>
                <w:vertAlign w:val="superscript"/>
              </w:rPr>
              <w:t>(1)</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10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xml:space="preserve">Check if the Aggregate Amount by Row (9) Excludes Certain Shares </w:t>
            </w: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54"/>
        </w:trPr>
        <w:tc>
          <w:tcPr>
            <w:tcW w:w="580" w:type="dxa"/>
            <w:vAlign w:val="bottom"/>
            <w:tcBorders>
              <w:left w:val="single" w:sz="8" w:color="auto"/>
              <w:bottom w:val="single" w:sz="8" w:color="auto"/>
              <w:right w:val="single" w:sz="8" w:color="auto"/>
            </w:tcBorders>
          </w:tcPr>
          <w:p>
            <w:pPr>
              <w:spacing w:after="0"/>
              <w:rPr>
                <w:sz w:val="4"/>
                <w:szCs w:val="4"/>
                <w:color w:val="auto"/>
              </w:rPr>
            </w:pPr>
          </w:p>
        </w:tc>
        <w:tc>
          <w:tcPr>
            <w:tcW w:w="10660" w:type="dxa"/>
            <w:vAlign w:val="bottom"/>
            <w:tcBorders>
              <w:bottom w:val="single" w:sz="8" w:color="auto"/>
              <w:right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w:t>
            </w:r>
          </w:p>
        </w:tc>
        <w:tc>
          <w:tcPr>
            <w:tcW w:w="10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in Amount in Row (9)</w:t>
            </w:r>
          </w:p>
        </w:tc>
        <w:tc>
          <w:tcPr>
            <w:tcW w:w="0" w:type="dxa"/>
            <w:vAlign w:val="bottom"/>
          </w:tcPr>
          <w:p>
            <w:pPr>
              <w:spacing w:after="0"/>
              <w:rPr>
                <w:sz w:val="1"/>
                <w:szCs w:val="1"/>
                <w:color w:val="auto"/>
              </w:rPr>
            </w:pPr>
          </w:p>
        </w:tc>
      </w:tr>
      <w:tr>
        <w:trPr>
          <w:trHeight w:val="325"/>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4"/>
          </w:tcPr>
          <w:p>
            <w:pPr>
              <w:ind w:left="60"/>
              <w:spacing w:after="0" w:line="324" w:lineRule="exact"/>
              <w:rPr>
                <w:sz w:val="20"/>
                <w:szCs w:val="20"/>
                <w:color w:val="auto"/>
              </w:rPr>
            </w:pPr>
            <w:r>
              <w:rPr>
                <w:rFonts w:ascii="Times New Roman" w:cs="Times New Roman" w:eastAsia="Times New Roman" w:hAnsi="Times New Roman"/>
                <w:sz w:val="35"/>
                <w:szCs w:val="35"/>
                <w:color w:val="auto"/>
                <w:vertAlign w:val="subscript"/>
              </w:rPr>
              <w:t>36.4%</w:t>
            </w:r>
            <w:r>
              <w:rPr>
                <w:rFonts w:ascii="Times New Roman" w:cs="Times New Roman" w:eastAsia="Times New Roman" w:hAnsi="Times New Roman"/>
                <w:sz w:val="15"/>
                <w:szCs w:val="15"/>
                <w:color w:val="auto"/>
              </w:rPr>
              <w:t>(1)(2)</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w:t>
            </w:r>
          </w:p>
        </w:tc>
        <w:tc>
          <w:tcPr>
            <w:tcW w:w="10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right w:val="single" w:sz="8" w:color="auto"/>
            </w:tcBorders>
          </w:tcPr>
          <w:p>
            <w:pPr>
              <w:spacing w:after="0"/>
              <w:rPr>
                <w:sz w:val="20"/>
                <w:szCs w:val="20"/>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80" w:type="dxa"/>
            <w:vAlign w:val="bottom"/>
            <w:tcBorders>
              <w:left w:val="single" w:sz="8" w:color="auto"/>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right="5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87,822,024 Class B ordinary shares held by Sina Corporation, which are convertible into 87,822,024 Class A ordinary shares, (ii) 545,510 Class A ordinary shares in the form of ADSs held by Chao Charles Guowei, and (iii) 37,500 Class A ordinary shares issuable upon the exercise of options exercisable within 60 days after December 31, 2023 held by Chao Charles Guowei.</w:t>
      </w:r>
    </w:p>
    <w:p>
      <w:pPr>
        <w:spacing w:after="0" w:line="175" w:lineRule="exact"/>
        <w:rPr>
          <w:rFonts w:ascii="Times New Roman" w:cs="Times New Roman" w:eastAsia="Times New Roman" w:hAnsi="Times New Roman"/>
          <w:sz w:val="18"/>
          <w:szCs w:val="18"/>
          <w:color w:val="auto"/>
        </w:rPr>
      </w:pPr>
    </w:p>
    <w:p>
      <w:pPr>
        <w:jc w:val="both"/>
        <w:ind w:left="340" w:right="8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242,610,942 Class A ordinary shares outstanding as of December 31, 2023, assuming all Class B ordinary shares held by such reporting person are converted into the same number of Class A ordinary shares, and (ii) 37,500 Class A ordinary shares issuable upon the exercise of options exercisable within 60 days after December 31, 2023 held by Chao Charles Guowei.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Page 6 of 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Issuer: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Weibo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343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8/F, QIHAO Plaza, No. 8 Xinyuan S.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Chaoyang District, Beijing 100027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3436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Person Filing:</w:t>
      </w:r>
    </w:p>
    <w:p>
      <w:pPr>
        <w:spacing w:after="0" w:line="27"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Sina Corporation, Sina Group Holding Company Limited, New Wave MMXV Limited, and Chao Charles Guowei (collectively, the “</w:t>
      </w:r>
      <w:r>
        <w:rPr>
          <w:rFonts w:ascii="Times New Roman" w:cs="Times New Roman" w:eastAsia="Times New Roman" w:hAnsi="Times New Roman"/>
          <w:sz w:val="18"/>
          <w:szCs w:val="18"/>
          <w:b w:val="1"/>
          <w:bCs w:val="1"/>
          <w:color w:val="auto"/>
        </w:rPr>
        <w:t>Reporting Persons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3436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or Principal Business Office or, if none, Residence: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8 SINA Plaza, Courtyard 10, the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Xibeiwang 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Haidian District, Beijing 100193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3436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w:t>
      </w:r>
    </w:p>
    <w:p>
      <w:pPr>
        <w:spacing w:after="0" w:line="27"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Sina Corporation is a Cayman Islands company. Sina Group Holding Company Limited is a Cayman Islands company. New Wave MMXV Limited is a British Virgin Islands company. Chao Charles Guowei is a citizen of Hong Kong SAR, 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3436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par value $0.00025 per share</w:t>
      </w:r>
    </w:p>
    <w:p>
      <w:pPr>
        <w:spacing w:after="0" w:line="20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Issuer’s ordinary shares consist of Class A ordinary shares and Class B ordinary shares. The rights of the holders of Class A ordinary shares and Class B ordinary shares are identical, except with respect to conversion rights and voting rights. Each Class B ordinary share is convertible at the option of the holder into one Class A ordinary share, whereas Class A ordinary shares are not convertible into Class B ordinary shares under any circumstances. Each Class B ordinary share is entitled to three votes, whereas each Class A ordinary share is entitled to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wp:posOffset>
            </wp:positionV>
            <wp:extent cx="63436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948596 101</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CUSIP number applies to the American Depositary Shares of the Issuer, each representing one Class A ordinary share of the Issuer, par value $0.00025 per share. No CUSIP has been assigned to the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6343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statement is filed pursuant to §§240.13d-1(b), or 240.13d-2(b) or (c), check whether the persons filing is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3436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300355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760" w:space="500"/>
            <w:col w:w="9980"/>
          </w:cols>
          <w:pgMar w:left="320" w:top="33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Page 7 of 9</w:t>
      </w:r>
    </w:p>
    <w:p>
      <w:pPr>
        <w:spacing w:after="0" w:line="2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360" w:right="80"/>
        <w:spacing w:after="0" w:line="266" w:lineRule="auto"/>
        <w:rPr>
          <w:sz w:val="20"/>
          <w:szCs w:val="20"/>
          <w:color w:val="auto"/>
        </w:rPr>
      </w:pPr>
      <w:r>
        <w:rPr>
          <w:rFonts w:ascii="Times New Roman" w:cs="Times New Roman" w:eastAsia="Times New Roman" w:hAnsi="Times New Roman"/>
          <w:sz w:val="18"/>
          <w:szCs w:val="18"/>
          <w:color w:val="auto"/>
        </w:rPr>
        <w:t>The following information with respect to the ownership of the ordinary shares of the issuer by the reporting persons is provided as of December 31, 2023. The table below is prepared based on 154,788,918 Class A ordinary shares and 87,822,024 Class B ordinary shares outstanding as of December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Shared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Sole power</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Shared power</w:t>
            </w: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Sole power</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dispose or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to vote or</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 vote or</w:t>
            </w: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to dispose or</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to direct the</w:t>
            </w:r>
          </w:p>
        </w:tc>
        <w:tc>
          <w:tcPr>
            <w:tcW w:w="0" w:type="dxa"/>
            <w:vAlign w:val="bottom"/>
          </w:tcPr>
          <w:p>
            <w:pPr>
              <w:spacing w:after="0"/>
              <w:rPr>
                <w:sz w:val="1"/>
                <w:szCs w:val="1"/>
                <w:color w:val="auto"/>
              </w:rPr>
            </w:pPr>
          </w:p>
        </w:tc>
      </w:tr>
      <w:tr>
        <w:trPr>
          <w:trHeight w:val="21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16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15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voting</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direct</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direct</w:t>
            </w: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to direct the</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disposition</w:t>
            </w:r>
          </w:p>
        </w:tc>
        <w:tc>
          <w:tcPr>
            <w:tcW w:w="0" w:type="dxa"/>
            <w:vAlign w:val="bottom"/>
          </w:tcPr>
          <w:p>
            <w:pPr>
              <w:spacing w:after="0"/>
              <w:rPr>
                <w:sz w:val="1"/>
                <w:szCs w:val="1"/>
                <w:color w:val="auto"/>
              </w:rPr>
            </w:pPr>
          </w:p>
        </w:tc>
      </w:tr>
      <w:tr>
        <w:trPr>
          <w:trHeight w:val="238"/>
        </w:trPr>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Persons:</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3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w:t>
            </w:r>
          </w:p>
        </w:tc>
        <w:tc>
          <w:tcPr>
            <w:tcW w:w="6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power:</w:t>
            </w:r>
          </w:p>
        </w:tc>
        <w:tc>
          <w:tcPr>
            <w:tcW w:w="5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vote:</w:t>
            </w:r>
          </w:p>
        </w:tc>
        <w:tc>
          <w:tcPr>
            <w:tcW w:w="36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vote:</w:t>
            </w:r>
          </w:p>
        </w:tc>
        <w:tc>
          <w:tcPr>
            <w:tcW w:w="2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disposition of:</w:t>
            </w:r>
          </w:p>
        </w:tc>
        <w:tc>
          <w:tcPr>
            <w:tcW w:w="3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0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Sina</w:t>
            </w:r>
          </w:p>
        </w:tc>
        <w:tc>
          <w:tcPr>
            <w:tcW w:w="120" w:type="dxa"/>
            <w:vAlign w:val="bottom"/>
            <w:shd w:val="clear" w:color="auto" w:fill="CCEEFF"/>
          </w:tcPr>
          <w:p>
            <w:pPr>
              <w:spacing w:after="0"/>
              <w:rPr>
                <w:sz w:val="16"/>
                <w:szCs w:val="16"/>
                <w:color w:val="auto"/>
              </w:rPr>
            </w:pPr>
          </w:p>
        </w:tc>
        <w:tc>
          <w:tcPr>
            <w:tcW w:w="14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87,822,024</w:t>
            </w:r>
            <w:r>
              <w:rPr>
                <w:rFonts w:ascii="Times New Roman" w:cs="Times New Roman" w:eastAsia="Times New Roman" w:hAnsi="Times New Roman"/>
                <w:sz w:val="29"/>
                <w:szCs w:val="29"/>
                <w:color w:val="auto"/>
                <w:vertAlign w:val="superscript"/>
              </w:rPr>
              <w:t>(1)</w:t>
            </w:r>
          </w:p>
        </w:tc>
        <w:tc>
          <w:tcPr>
            <w:tcW w:w="1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35"/>
                <w:szCs w:val="35"/>
                <w:color w:val="auto"/>
                <w:vertAlign w:val="subscript"/>
              </w:rPr>
              <w:t>36.2%</w:t>
            </w:r>
            <w:r>
              <w:rPr>
                <w:rFonts w:ascii="Times New Roman" w:cs="Times New Roman" w:eastAsia="Times New Roman" w:hAnsi="Times New Roman"/>
                <w:sz w:val="15"/>
                <w:szCs w:val="15"/>
                <w:color w:val="auto"/>
              </w:rPr>
              <w:t>(1)(2)</w:t>
            </w:r>
          </w:p>
        </w:tc>
        <w:tc>
          <w:tcPr>
            <w:tcW w:w="15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63.0%</w:t>
            </w:r>
            <w:r>
              <w:rPr>
                <w:rFonts w:ascii="Times New Roman" w:cs="Times New Roman" w:eastAsia="Times New Roman" w:hAnsi="Times New Roman"/>
                <w:sz w:val="29"/>
                <w:szCs w:val="29"/>
                <w:color w:val="auto"/>
                <w:vertAlign w:val="superscript"/>
              </w:rPr>
              <w:t>(5)</w:t>
            </w: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87,822,024</w:t>
            </w:r>
            <w:r>
              <w:rPr>
                <w:rFonts w:ascii="Times New Roman" w:cs="Times New Roman" w:eastAsia="Times New Roman" w:hAnsi="Times New Roman"/>
                <w:sz w:val="29"/>
                <w:szCs w:val="29"/>
                <w:color w:val="auto"/>
                <w:vertAlign w:val="superscript"/>
              </w:rPr>
              <w:t>(1)</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87,822,024</w:t>
            </w:r>
            <w:r>
              <w:rPr>
                <w:rFonts w:ascii="Times New Roman" w:cs="Times New Roman" w:eastAsia="Times New Roman" w:hAnsi="Times New Roman"/>
                <w:sz w:val="29"/>
                <w:szCs w:val="29"/>
                <w:color w:val="auto"/>
                <w:vertAlign w:val="superscript"/>
              </w:rPr>
              <w:t>(1)</w:t>
            </w: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Corporation</w:t>
            </w:r>
          </w:p>
        </w:tc>
        <w:tc>
          <w:tcPr>
            <w:tcW w:w="1420" w:type="dxa"/>
            <w:vAlign w:val="bottom"/>
            <w:gridSpan w:val="2"/>
            <w:vMerge w:val="continue"/>
            <w:shd w:val="clear" w:color="auto" w:fill="CCEEFF"/>
          </w:tcPr>
          <w:p>
            <w:pPr>
              <w:spacing w:after="0"/>
              <w:rPr>
                <w:sz w:val="20"/>
                <w:szCs w:val="20"/>
                <w:color w:val="auto"/>
              </w:rPr>
            </w:pPr>
          </w:p>
        </w:tc>
        <w:tc>
          <w:tcPr>
            <w:tcW w:w="1680" w:type="dxa"/>
            <w:vAlign w:val="bottom"/>
            <w:gridSpan w:val="2"/>
            <w:vMerge w:val="continue"/>
            <w:shd w:val="clear" w:color="auto" w:fill="CCEEFF"/>
          </w:tcPr>
          <w:p>
            <w:pPr>
              <w:spacing w:after="0"/>
              <w:rPr>
                <w:sz w:val="20"/>
                <w:szCs w:val="20"/>
                <w:color w:val="auto"/>
              </w:rPr>
            </w:pPr>
          </w:p>
        </w:tc>
        <w:tc>
          <w:tcPr>
            <w:tcW w:w="1520" w:type="dxa"/>
            <w:vAlign w:val="bottom"/>
            <w:gridSpan w:val="2"/>
            <w:vMerge w:val="continue"/>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gridSpan w:val="2"/>
            <w:vMerge w:val="continue"/>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4"/>
        </w:trPr>
        <w:tc>
          <w:tcPr>
            <w:tcW w:w="1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Sina Group</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Holding</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87,822,024</w:t>
            </w:r>
            <w:r>
              <w:rPr>
                <w:rFonts w:ascii="Times New Roman" w:cs="Times New Roman" w:eastAsia="Times New Roman" w:hAnsi="Times New Roman"/>
                <w:sz w:val="29"/>
                <w:szCs w:val="29"/>
                <w:color w:val="auto"/>
                <w:vertAlign w:val="superscript"/>
              </w:rPr>
              <w:t>(1)</w:t>
            </w:r>
          </w:p>
        </w:tc>
        <w:tc>
          <w:tcPr>
            <w:tcW w:w="1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35"/>
                <w:szCs w:val="35"/>
                <w:color w:val="auto"/>
                <w:vertAlign w:val="subscript"/>
              </w:rPr>
              <w:t>36.2%</w:t>
            </w:r>
            <w:r>
              <w:rPr>
                <w:rFonts w:ascii="Times New Roman" w:cs="Times New Roman" w:eastAsia="Times New Roman" w:hAnsi="Times New Roman"/>
                <w:sz w:val="15"/>
                <w:szCs w:val="15"/>
                <w:color w:val="auto"/>
              </w:rPr>
              <w:t>(1)(2)</w:t>
            </w:r>
          </w:p>
        </w:tc>
        <w:tc>
          <w:tcPr>
            <w:tcW w:w="1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63.0%</w:t>
            </w:r>
            <w:r>
              <w:rPr>
                <w:rFonts w:ascii="Times New Roman" w:cs="Times New Roman" w:eastAsia="Times New Roman" w:hAnsi="Times New Roman"/>
                <w:sz w:val="29"/>
                <w:szCs w:val="29"/>
                <w:color w:val="auto"/>
                <w:vertAlign w:val="superscript"/>
              </w:rPr>
              <w:t>(5)</w:t>
            </w: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87,822,024</w:t>
            </w:r>
            <w:r>
              <w:rPr>
                <w:rFonts w:ascii="Times New Roman" w:cs="Times New Roman" w:eastAsia="Times New Roman" w:hAnsi="Times New Roman"/>
                <w:sz w:val="29"/>
                <w:szCs w:val="29"/>
                <w:color w:val="auto"/>
                <w:vertAlign w:val="superscript"/>
              </w:rPr>
              <w:t>(1)</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87,822,024</w:t>
            </w:r>
            <w:r>
              <w:rPr>
                <w:rFonts w:ascii="Times New Roman" w:cs="Times New Roman" w:eastAsia="Times New Roman" w:hAnsi="Times New Roman"/>
                <w:sz w:val="29"/>
                <w:szCs w:val="29"/>
                <w:color w:val="auto"/>
                <w:vertAlign w:val="superscript"/>
              </w:rPr>
              <w:t>(1)</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20" w:type="dxa"/>
            <w:vAlign w:val="bottom"/>
            <w:gridSpan w:val="2"/>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gridSpan w:val="2"/>
            <w:vMerge w:val="continue"/>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4"/>
        </w:trPr>
        <w:tc>
          <w:tcPr>
            <w:tcW w:w="11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New Wave</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MMXV</w:t>
            </w:r>
          </w:p>
        </w:tc>
        <w:tc>
          <w:tcPr>
            <w:tcW w:w="14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87,822,024</w:t>
            </w:r>
            <w:r>
              <w:rPr>
                <w:rFonts w:ascii="Times New Roman" w:cs="Times New Roman" w:eastAsia="Times New Roman" w:hAnsi="Times New Roman"/>
                <w:sz w:val="29"/>
                <w:szCs w:val="29"/>
                <w:color w:val="auto"/>
                <w:vertAlign w:val="superscript"/>
              </w:rPr>
              <w:t>(1)</w:t>
            </w:r>
          </w:p>
        </w:tc>
        <w:tc>
          <w:tcPr>
            <w:tcW w:w="1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35"/>
                <w:szCs w:val="35"/>
                <w:color w:val="auto"/>
                <w:vertAlign w:val="subscript"/>
              </w:rPr>
              <w:t>36.2%</w:t>
            </w:r>
            <w:r>
              <w:rPr>
                <w:rFonts w:ascii="Times New Roman" w:cs="Times New Roman" w:eastAsia="Times New Roman" w:hAnsi="Times New Roman"/>
                <w:sz w:val="15"/>
                <w:szCs w:val="15"/>
                <w:color w:val="auto"/>
              </w:rPr>
              <w:t>(1)(2)</w:t>
            </w:r>
          </w:p>
        </w:tc>
        <w:tc>
          <w:tcPr>
            <w:tcW w:w="15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63.0%</w:t>
            </w:r>
            <w:r>
              <w:rPr>
                <w:rFonts w:ascii="Times New Roman" w:cs="Times New Roman" w:eastAsia="Times New Roman" w:hAnsi="Times New Roman"/>
                <w:sz w:val="29"/>
                <w:szCs w:val="29"/>
                <w:color w:val="auto"/>
                <w:vertAlign w:val="superscript"/>
              </w:rPr>
              <w:t>(5)</w:t>
            </w: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87,822,024</w:t>
            </w:r>
            <w:r>
              <w:rPr>
                <w:rFonts w:ascii="Times New Roman" w:cs="Times New Roman" w:eastAsia="Times New Roman" w:hAnsi="Times New Roman"/>
                <w:sz w:val="29"/>
                <w:szCs w:val="29"/>
                <w:color w:val="auto"/>
                <w:vertAlign w:val="superscript"/>
              </w:rPr>
              <w:t>(1)</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87,822,024</w:t>
            </w:r>
            <w:r>
              <w:rPr>
                <w:rFonts w:ascii="Times New Roman" w:cs="Times New Roman" w:eastAsia="Times New Roman" w:hAnsi="Times New Roman"/>
                <w:sz w:val="29"/>
                <w:szCs w:val="29"/>
                <w:color w:val="auto"/>
                <w:vertAlign w:val="superscript"/>
              </w:rPr>
              <w:t>(1)</w:t>
            </w: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20" w:type="dxa"/>
            <w:vAlign w:val="bottom"/>
            <w:gridSpan w:val="2"/>
            <w:vMerge w:val="continue"/>
            <w:shd w:val="clear" w:color="auto" w:fill="CCEEFF"/>
          </w:tcPr>
          <w:p>
            <w:pPr>
              <w:spacing w:after="0"/>
              <w:rPr>
                <w:sz w:val="20"/>
                <w:szCs w:val="20"/>
                <w:color w:val="auto"/>
              </w:rPr>
            </w:pPr>
          </w:p>
        </w:tc>
        <w:tc>
          <w:tcPr>
            <w:tcW w:w="1680" w:type="dxa"/>
            <w:vAlign w:val="bottom"/>
            <w:gridSpan w:val="2"/>
            <w:vMerge w:val="continue"/>
            <w:shd w:val="clear" w:color="auto" w:fill="CCEEFF"/>
          </w:tcPr>
          <w:p>
            <w:pPr>
              <w:spacing w:after="0"/>
              <w:rPr>
                <w:sz w:val="20"/>
                <w:szCs w:val="20"/>
                <w:color w:val="auto"/>
              </w:rPr>
            </w:pPr>
          </w:p>
        </w:tc>
        <w:tc>
          <w:tcPr>
            <w:tcW w:w="1520" w:type="dxa"/>
            <w:vAlign w:val="bottom"/>
            <w:gridSpan w:val="2"/>
            <w:vMerge w:val="continue"/>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gridSpan w:val="2"/>
            <w:vMerge w:val="continue"/>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4"/>
        </w:trPr>
        <w:tc>
          <w:tcPr>
            <w:tcW w:w="1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Chao</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Charles</w:t>
            </w:r>
          </w:p>
        </w:tc>
        <w:tc>
          <w:tcPr>
            <w:tcW w:w="1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88,405,034</w:t>
            </w:r>
            <w:r>
              <w:rPr>
                <w:rFonts w:ascii="Times New Roman" w:cs="Times New Roman" w:eastAsia="Times New Roman" w:hAnsi="Times New Roman"/>
                <w:sz w:val="29"/>
                <w:szCs w:val="29"/>
                <w:color w:val="auto"/>
                <w:vertAlign w:val="superscript"/>
              </w:rPr>
              <w:t>(3)</w:t>
            </w:r>
          </w:p>
        </w:tc>
        <w:tc>
          <w:tcPr>
            <w:tcW w:w="1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35"/>
                <w:szCs w:val="35"/>
                <w:color w:val="auto"/>
                <w:vertAlign w:val="subscript"/>
              </w:rPr>
              <w:t>36.4%</w:t>
            </w:r>
            <w:r>
              <w:rPr>
                <w:rFonts w:ascii="Times New Roman" w:cs="Times New Roman" w:eastAsia="Times New Roman" w:hAnsi="Times New Roman"/>
                <w:sz w:val="15"/>
                <w:szCs w:val="15"/>
                <w:color w:val="auto"/>
              </w:rPr>
              <w:t>(3)(4)</w:t>
            </w:r>
          </w:p>
        </w:tc>
        <w:tc>
          <w:tcPr>
            <w:tcW w:w="1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63.1%</w:t>
            </w:r>
            <w:r>
              <w:rPr>
                <w:rFonts w:ascii="Times New Roman" w:cs="Times New Roman" w:eastAsia="Times New Roman" w:hAnsi="Times New Roman"/>
                <w:sz w:val="29"/>
                <w:szCs w:val="29"/>
                <w:color w:val="auto"/>
                <w:vertAlign w:val="superscript"/>
              </w:rPr>
              <w:t>(5)</w:t>
            </w: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88,405,034</w:t>
            </w:r>
            <w:r>
              <w:rPr>
                <w:rFonts w:ascii="Times New Roman" w:cs="Times New Roman" w:eastAsia="Times New Roman" w:hAnsi="Times New Roman"/>
                <w:sz w:val="29"/>
                <w:szCs w:val="29"/>
                <w:color w:val="auto"/>
                <w:vertAlign w:val="superscript"/>
              </w:rPr>
              <w:t>(3)</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88,405,034</w:t>
            </w:r>
            <w:r>
              <w:rPr>
                <w:rFonts w:ascii="Times New Roman" w:cs="Times New Roman" w:eastAsia="Times New Roman" w:hAnsi="Times New Roman"/>
                <w:sz w:val="29"/>
                <w:szCs w:val="29"/>
                <w:color w:val="auto"/>
                <w:vertAlign w:val="superscript"/>
              </w:rPr>
              <w:t>(3)</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Guowei</w:t>
            </w:r>
          </w:p>
        </w:tc>
        <w:tc>
          <w:tcPr>
            <w:tcW w:w="1420" w:type="dxa"/>
            <w:vAlign w:val="bottom"/>
            <w:gridSpan w:val="2"/>
            <w:vMerge w:val="continue"/>
          </w:tcPr>
          <w:p>
            <w:pPr>
              <w:spacing w:after="0"/>
              <w:rPr>
                <w:sz w:val="24"/>
                <w:szCs w:val="24"/>
                <w:color w:val="auto"/>
              </w:rPr>
            </w:pPr>
          </w:p>
        </w:tc>
        <w:tc>
          <w:tcPr>
            <w:tcW w:w="1680" w:type="dxa"/>
            <w:vAlign w:val="bottom"/>
            <w:gridSpan w:val="2"/>
            <w:vMerge w:val="continue"/>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gridSpan w:val="2"/>
            <w:vMerge w:val="continue"/>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83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right="80" w:hanging="332"/>
        <w:spacing w:after="0" w:line="281" w:lineRule="auto"/>
        <w:tabs>
          <w:tab w:leader="none" w:pos="3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87,822,024 Class B ordinary shares held by Sina Corporation that are convertible into 87,822,024 Class A ordinary shares at any time at the option of Sina Corporation. Pursuant to Rule 13d-3(d)(1), all shares of Class B ordinary shares (which are convertible into shares of Class A ordinary shares) held by Sina Corporation shall be deemed to be converted for the purposes of (i) determining the aggregate amount of shares of Class A ordinary shares beneficially owned by Sina Corporation and (ii) calculating the percentages of the Class A ordinary shares owned by such person.</w:t>
      </w:r>
    </w:p>
    <w:p>
      <w:pPr>
        <w:spacing w:after="0" w:line="164" w:lineRule="exact"/>
        <w:rPr>
          <w:rFonts w:ascii="Times New Roman" w:cs="Times New Roman" w:eastAsia="Times New Roman" w:hAnsi="Times New Roman"/>
          <w:sz w:val="17"/>
          <w:szCs w:val="17"/>
          <w:color w:val="auto"/>
        </w:rPr>
      </w:pPr>
    </w:p>
    <w:p>
      <w:pPr>
        <w:ind w:left="340" w:right="6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22, 2021, New Wave Mergersub Limited (a wholly owned subsidiary of Sina Group Holding Company Limited, formerly known as New Wave Holdings Limited) merged with and into Sina Corporation, with Sina Corporation continuing as the surviving company. As a result of this merger, Sina Corporation became a wholly owned subsidiary of Sina Group Holding Company Limited, which is a wholly owned subsidiary of New Wave MMXV Limited (“</w:t>
      </w:r>
      <w:r>
        <w:rPr>
          <w:rFonts w:ascii="Times New Roman" w:cs="Times New Roman" w:eastAsia="Times New Roman" w:hAnsi="Times New Roman"/>
          <w:sz w:val="17"/>
          <w:szCs w:val="17"/>
          <w:b w:val="1"/>
          <w:bCs w:val="1"/>
          <w:color w:val="auto"/>
        </w:rPr>
        <w:t>New Wave</w:t>
      </w:r>
      <w:r>
        <w:rPr>
          <w:rFonts w:ascii="Times New Roman" w:cs="Times New Roman" w:eastAsia="Times New Roman" w:hAnsi="Times New Roman"/>
          <w:sz w:val="17"/>
          <w:szCs w:val="17"/>
          <w:color w:val="auto"/>
        </w:rPr>
        <w:t>”), a business company incorporated in the British Virgin Islands and controlled by Mr. Charles Chao. As of the date of this filing, New Wave was owned as to 61.2% by Mr. Charles Chao, 30.0% by Mr. Yunli Liu and the remaining shares were held by other senior management members of Sina Corporation, including Ms. Hong Du, Mr. Gaofei Wang and Ms. Bonnie Yi Zhang, each of whom held less than 5% of the total share capital of New Wave. All the voting shares in New Wave were held by Mr. Charles Chao, and the rest were all non-voting shares.</w:t>
      </w:r>
    </w:p>
    <w:p>
      <w:pPr>
        <w:spacing w:after="0" w:line="167" w:lineRule="exact"/>
        <w:rPr>
          <w:rFonts w:ascii="Times New Roman" w:cs="Times New Roman" w:eastAsia="Times New Roman" w:hAnsi="Times New Roman"/>
          <w:sz w:val="17"/>
          <w:szCs w:val="17"/>
          <w:color w:val="auto"/>
        </w:rPr>
      </w:pPr>
    </w:p>
    <w:p>
      <w:pPr>
        <w:ind w:left="340" w:right="6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March 2023, Sina Corporation entered into a facility agreement (the “</w:t>
      </w:r>
      <w:r>
        <w:rPr>
          <w:rFonts w:ascii="Times New Roman" w:cs="Times New Roman" w:eastAsia="Times New Roman" w:hAnsi="Times New Roman"/>
          <w:sz w:val="18"/>
          <w:szCs w:val="18"/>
          <w:b w:val="1"/>
          <w:bCs w:val="1"/>
          <w:color w:val="auto"/>
        </w:rPr>
        <w:t>SINA Facility Agreement</w:t>
      </w:r>
      <w:r>
        <w:rPr>
          <w:rFonts w:ascii="Times New Roman" w:cs="Times New Roman" w:eastAsia="Times New Roman" w:hAnsi="Times New Roman"/>
          <w:sz w:val="18"/>
          <w:szCs w:val="18"/>
          <w:color w:val="auto"/>
        </w:rPr>
        <w:t>”) with, among others, Goldman Sachs Bank USA (“</w:t>
      </w:r>
      <w:r>
        <w:rPr>
          <w:rFonts w:ascii="Times New Roman" w:cs="Times New Roman" w:eastAsia="Times New Roman" w:hAnsi="Times New Roman"/>
          <w:sz w:val="18"/>
          <w:szCs w:val="18"/>
          <w:b w:val="1"/>
          <w:bCs w:val="1"/>
          <w:color w:val="auto"/>
        </w:rPr>
        <w:t>Goldman Sachs</w:t>
      </w:r>
      <w:r>
        <w:rPr>
          <w:rFonts w:ascii="Times New Roman" w:cs="Times New Roman" w:eastAsia="Times New Roman" w:hAnsi="Times New Roman"/>
          <w:sz w:val="18"/>
          <w:szCs w:val="18"/>
          <w:color w:val="auto"/>
        </w:rPr>
        <w:t>”) as mandated lead arranger and bookrunner, and Citicorp International Limited as facility agent and as security agent (the “</w:t>
      </w:r>
      <w:r>
        <w:rPr>
          <w:rFonts w:ascii="Times New Roman" w:cs="Times New Roman" w:eastAsia="Times New Roman" w:hAnsi="Times New Roman"/>
          <w:sz w:val="18"/>
          <w:szCs w:val="18"/>
          <w:b w:val="1"/>
          <w:bCs w:val="1"/>
          <w:color w:val="auto"/>
        </w:rPr>
        <w:t>Security Agent</w:t>
      </w:r>
      <w:r>
        <w:rPr>
          <w:rFonts w:ascii="Times New Roman" w:cs="Times New Roman" w:eastAsia="Times New Roman" w:hAnsi="Times New Roman"/>
          <w:sz w:val="18"/>
          <w:szCs w:val="18"/>
          <w:color w:val="auto"/>
        </w:rPr>
        <w:t>”), under which Sina Corporation is entitled to borrow up to US$300 million. The term for the SINA Facility Agreement is one year, extendable for another one-year period. Shortly thereafter, Sina Corporation pledged all shares held by it in Weibo Corporation in favor of the Security Agent. In the event that Sina Corporation defaults under the SINA Facility Agreement, the Security Agent may exercise its rights and remedies in respect of the pledge, including the right to sell and/or foreclose on the shares subject to the pledge, which potentially could cause a change in control in Weibo Corporation.</w:t>
      </w:r>
    </w:p>
    <w:p>
      <w:pPr>
        <w:spacing w:after="0" w:line="186" w:lineRule="exact"/>
        <w:rPr>
          <w:rFonts w:ascii="Times New Roman" w:cs="Times New Roman" w:eastAsia="Times New Roman" w:hAnsi="Times New Roman"/>
          <w:sz w:val="17"/>
          <w:szCs w:val="17"/>
          <w:color w:val="auto"/>
        </w:rPr>
      </w:pPr>
    </w:p>
    <w:p>
      <w:pPr>
        <w:ind w:left="340" w:right="40" w:hanging="332"/>
        <w:spacing w:after="0" w:line="261"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derive this percentage, (x) the numerator is 87,822,024, being 87,822,024 Class A ordinary shares that are convertible from the same number of Class B ordinary shares held by Sina Corporation, and (y) the denominator is the sum of (i) 154,788,918, being the numbers of the Issuer’s total Class A ordinary shares outstanding as of December 31, 2023 and (ii) 87,822,024, being the number of Class A ordinary shares that Sina Corporation has the rights to acquire upon conversion of the same number of Class B ordinary shares held by Sina Corporation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Page 8 of 9</w:t>
      </w:r>
    </w:p>
    <w:p>
      <w:pPr>
        <w:spacing w:after="0" w:line="225" w:lineRule="exact"/>
        <w:rPr>
          <w:sz w:val="20"/>
          <w:szCs w:val="20"/>
          <w:color w:val="auto"/>
        </w:rPr>
      </w:pPr>
    </w:p>
    <w:p>
      <w:pPr>
        <w:ind w:left="340" w:right="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87,822,024 Class B ordinary shares held by Sina Corporation that are convertible into 87,822,024 Class A ordinary shares at any time at the option of Sina Corporation, (ii) 545,510 Class A ordinary shares in the form of ADSs held by Chao Charles Guowei, and (iii) 37,500 Class A ordinary shares issuable upon the exercise of options exercisable within 60 days after December 31, 2023 held by Chao Charles Guowei.</w:t>
      </w:r>
    </w:p>
    <w:p>
      <w:pPr>
        <w:spacing w:after="0" w:line="175" w:lineRule="exact"/>
        <w:rPr>
          <w:rFonts w:ascii="Times New Roman" w:cs="Times New Roman" w:eastAsia="Times New Roman" w:hAnsi="Times New Roman"/>
          <w:sz w:val="18"/>
          <w:szCs w:val="18"/>
          <w:color w:val="auto"/>
        </w:rPr>
      </w:pPr>
    </w:p>
    <w:p>
      <w:pPr>
        <w:ind w:left="340" w:right="80" w:hanging="332"/>
        <w:spacing w:after="0" w:line="25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derive this percentage, (x) the numerator is the sum of (i) 87,822,024, being 87,822,024 Class A ordinary shares that are convertible from the same number of Class B ordinary shares held by Sina Corporation, (ii) 545,510 Class A ordinary shares in the form of ADSs held by Chao Charles Guowei, and (iii) 37,500 Class A ordinary shares issuable upon the exercise of options exercisable within 60 days after December 31, 2023 held by Chao Charles Guowei, and (y) the denominator is the sum of (i) 154,788,918, being the number of the Issuer’s total Class A ordinary shares outstanding as of December 31, 2023, (ii) 87,822,024, being the number of the Issuer’s total Class B ordinary shares outstanding as of December 31, 2023 that are convertible into the same number of Class A ordinary shares, and (iii) 37,500, being the number of the Issuer’s Class A ordinary shares issuable upon the exercise of options exercisable within 60 days after December 31, 2023 held by Chao Charles Guowei.</w:t>
      </w:r>
    </w:p>
    <w:p>
      <w:pPr>
        <w:spacing w:after="0" w:line="188"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reporting person, percentage of aggregate voting power represents voting power of all ordinary shares held by such reporting person with respect to all outstanding shares of Class A and Class B ordinary shares. Each holder of Class A ordinary shares is entitled to one vote per share. Each holder of Class B ordinary shares is entitled to three votes per share.</w:t>
      </w:r>
    </w:p>
    <w:p>
      <w:pPr>
        <w:sectPr>
          <w:pgSz w:w="11900" w:h="16838" w:orient="portrait"/>
          <w:cols w:equalWidth="0" w:num="1">
            <w:col w:w="11240"/>
          </w:cols>
          <w:pgMar w:left="320" w:top="688"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3436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3436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17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Controlling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3436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3436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343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3436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300355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640" w:space="620"/>
            <w:col w:w="9980"/>
          </w:cols>
          <w:pgMar w:left="320" w:top="688" w:right="339" w:bottom="1440" w:gutter="0" w:footer="0" w:header="0"/>
          <w:type w:val="continuous"/>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Page 9 of 9</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7, 2024</w:t>
      </w:r>
    </w:p>
    <w:p>
      <w:pPr>
        <w:spacing w:after="0" w:line="2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SINA CORPORATION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Bonnie Yi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Bonnie Yi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SINA GROUP HOLDING COMPANY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Chao Charles Guowei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Chao Charles Guowei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Sole Director</w:t>
      </w:r>
    </w:p>
    <w:p>
      <w:pPr>
        <w:spacing w:after="0" w:line="20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NEW WAVE MMXV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Chao Charles Guowei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Chao Charles Guowei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Sole Director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Chao Charles Guowei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Chao Charles Guowei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bullet"/>
      <w:start w:val="1"/>
    </w:lvl>
  </w:abstractNum>
  <w:abstractNum w:abstractNumId="3">
    <w:nsid w:val="1BEFD79F"/>
    <w:multiLevelType w:val="hybridMultilevel"/>
    <w:lvl w:ilvl="0">
      <w:lvlJc w:val="left"/>
      <w:lvlText w:val="2"/>
      <w:numFmt w:val="bullet"/>
      <w:start w:val="1"/>
    </w:lvl>
    <w:lvl w:ilvl="1">
      <w:lvlJc w:val="left"/>
      <w:lvlText w:val="(%2)"/>
      <w:numFmt w:val="lowerLetter"/>
      <w:start w:val="1"/>
    </w:lvl>
  </w:abstractNum>
  <w:abstractNum w:abstractNumId="4">
    <w:nsid w:val="41A7C4C9"/>
    <w:multiLevelType w:val="hybridMultilevel"/>
    <w:lvl w:ilvl="0">
      <w:lvlJc w:val="left"/>
      <w:lvlText w:val="3"/>
      <w:numFmt w:val="bullet"/>
      <w:start w:val="1"/>
    </w:lvl>
  </w:abstractNum>
  <w:abstractNum w:abstractNumId="5">
    <w:nsid w:val="6B68079A"/>
    <w:multiLevelType w:val="hybridMultilevel"/>
    <w:lvl w:ilvl="0">
      <w:lvlJc w:val="left"/>
      <w:lvlText w:val="4"/>
      <w:numFmt w:val="bullet"/>
      <w:start w:val="1"/>
    </w:lvl>
  </w:abstractNum>
  <w:abstractNum w:abstractNumId="6">
    <w:nsid w:val="4E6AFB66"/>
    <w:multiLevelType w:val="hybridMultilevel"/>
    <w:lvl w:ilvl="0">
      <w:lvlJc w:val="left"/>
      <w:lvlText w:val="9"/>
      <w:numFmt w:val="bullet"/>
      <w:start w:val="1"/>
    </w:lvl>
  </w:abstractNum>
  <w:abstractNum w:abstractNumId="7">
    <w:nsid w:val="25E45D32"/>
    <w:multiLevelType w:val="hybridMultilevel"/>
    <w:lvl w:ilvl="0">
      <w:lvlJc w:val="left"/>
      <w:lvlText w:val="%1"/>
      <w:numFmt w:val="decimal"/>
      <w:start w:val="1"/>
    </w:lvl>
    <w:lvl w:ilvl="1">
      <w:lvlJc w:val="left"/>
      <w:lvlText w:val="%2"/>
      <w:numFmt w:val="decimal"/>
      <w:start w:val="10"/>
    </w:lvl>
  </w:abstractNum>
  <w:abstractNum w:abstractNumId="8">
    <w:nsid w:val="519B500D"/>
    <w:multiLevelType w:val="hybridMultilevel"/>
    <w:lvl w:ilvl="0">
      <w:lvlJc w:val="left"/>
      <w:lvlText w:val="(%1)"/>
      <w:numFmt w:val="decimal"/>
      <w:start w:val="1"/>
    </w:lvl>
    <w:lvl w:ilvl="1">
      <w:lvlJc w:val="left"/>
      <w:lvlText w:val="%2"/>
      <w:numFmt w:val="decimal"/>
      <w:start w:val="1"/>
    </w:lvl>
  </w:abstractNum>
  <w:abstractNum w:abstractNumId="9">
    <w:nsid w:val="431BD7B7"/>
    <w:multiLevelType w:val="hybridMultilevel"/>
    <w:lvl w:ilvl="0">
      <w:lvlJc w:val="left"/>
      <w:lvlText w:val="1"/>
      <w:numFmt w:val="bullet"/>
      <w:start w:val="1"/>
    </w:lvl>
  </w:abstractNum>
  <w:abstractNum w:abstractNumId="10">
    <w:nsid w:val="3F2DBA31"/>
    <w:multiLevelType w:val="hybridMultilevel"/>
    <w:lvl w:ilvl="0">
      <w:lvlJc w:val="left"/>
      <w:lvlText w:val="2"/>
      <w:numFmt w:val="bullet"/>
      <w:start w:val="1"/>
    </w:lvl>
    <w:lvl w:ilvl="1">
      <w:lvlJc w:val="left"/>
      <w:lvlText w:val="(%2)"/>
      <w:numFmt w:val="lowerLetter"/>
      <w:start w:val="1"/>
    </w:lvl>
  </w:abstractNum>
  <w:abstractNum w:abstractNumId="11">
    <w:nsid w:val="7C83E458"/>
    <w:multiLevelType w:val="hybridMultilevel"/>
    <w:lvl w:ilvl="0">
      <w:lvlJc w:val="left"/>
      <w:lvlText w:val="3"/>
      <w:numFmt w:val="bullet"/>
      <w:start w:val="1"/>
    </w:lvl>
  </w:abstractNum>
  <w:abstractNum w:abstractNumId="12">
    <w:nsid w:val="257130A3"/>
    <w:multiLevelType w:val="hybridMultilevel"/>
    <w:lvl w:ilvl="0">
      <w:lvlJc w:val="left"/>
      <w:lvlText w:val="4"/>
      <w:numFmt w:val="bullet"/>
      <w:start w:val="1"/>
    </w:lvl>
  </w:abstractNum>
  <w:abstractNum w:abstractNumId="13">
    <w:nsid w:val="62BBD95A"/>
    <w:multiLevelType w:val="hybridMultilevel"/>
    <w:lvl w:ilvl="0">
      <w:lvlJc w:val="left"/>
      <w:lvlText w:val="9"/>
      <w:numFmt w:val="bullet"/>
      <w:start w:val="1"/>
    </w:lvl>
  </w:abstractNum>
  <w:abstractNum w:abstractNumId="14">
    <w:nsid w:val="436C6125"/>
    <w:multiLevelType w:val="hybridMultilevel"/>
    <w:lvl w:ilvl="0">
      <w:lvlJc w:val="left"/>
      <w:lvlText w:val="%1"/>
      <w:numFmt w:val="decimal"/>
      <w:start w:val="1"/>
    </w:lvl>
    <w:lvl w:ilvl="1">
      <w:lvlJc w:val="left"/>
      <w:lvlText w:val="%2"/>
      <w:numFmt w:val="decimal"/>
      <w:start w:val="10"/>
    </w:lvl>
  </w:abstractNum>
  <w:abstractNum w:abstractNumId="15">
    <w:nsid w:val="628C895D"/>
    <w:multiLevelType w:val="hybridMultilevel"/>
    <w:lvl w:ilvl="0">
      <w:lvlJc w:val="left"/>
      <w:lvlText w:val="(%1)"/>
      <w:numFmt w:val="decimal"/>
      <w:start w:val="1"/>
    </w:lvl>
    <w:lvl w:ilvl="1">
      <w:lvlJc w:val="left"/>
      <w:lvlText w:val="%2"/>
      <w:numFmt w:val="decimal"/>
      <w:start w:val="1"/>
    </w:lvl>
  </w:abstractNum>
  <w:abstractNum w:abstractNumId="16">
    <w:nsid w:val="333AB105"/>
    <w:multiLevelType w:val="hybridMultilevel"/>
    <w:lvl w:ilvl="0">
      <w:lvlJc w:val="left"/>
      <w:lvlText w:val="1"/>
      <w:numFmt w:val="bullet"/>
      <w:start w:val="1"/>
    </w:lvl>
  </w:abstractNum>
  <w:abstractNum w:abstractNumId="17">
    <w:nsid w:val="721DA317"/>
    <w:multiLevelType w:val="hybridMultilevel"/>
    <w:lvl w:ilvl="0">
      <w:lvlJc w:val="left"/>
      <w:lvlText w:val="2"/>
      <w:numFmt w:val="bullet"/>
      <w:start w:val="1"/>
    </w:lvl>
    <w:lvl w:ilvl="1">
      <w:lvlJc w:val="left"/>
      <w:lvlText w:val="(%2)"/>
      <w:numFmt w:val="lowerLetter"/>
      <w:start w:val="1"/>
    </w:lvl>
  </w:abstractNum>
  <w:abstractNum w:abstractNumId="18">
    <w:nsid w:val="2443A858"/>
    <w:multiLevelType w:val="hybridMultilevel"/>
    <w:lvl w:ilvl="0">
      <w:lvlJc w:val="left"/>
      <w:lvlText w:val="3"/>
      <w:numFmt w:val="bullet"/>
      <w:start w:val="1"/>
    </w:lvl>
  </w:abstractNum>
  <w:abstractNum w:abstractNumId="19">
    <w:nsid w:val="2D1D5AE9"/>
    <w:multiLevelType w:val="hybridMultilevel"/>
    <w:lvl w:ilvl="0">
      <w:lvlJc w:val="left"/>
      <w:lvlText w:val="4"/>
      <w:numFmt w:val="bullet"/>
      <w:start w:val="1"/>
    </w:lvl>
  </w:abstractNum>
  <w:abstractNum w:abstractNumId="20">
    <w:nsid w:val="6763845E"/>
    <w:multiLevelType w:val="hybridMultilevel"/>
    <w:lvl w:ilvl="0">
      <w:lvlJc w:val="left"/>
      <w:lvlText w:val="9"/>
      <w:numFmt w:val="bullet"/>
      <w:start w:val="1"/>
    </w:lvl>
  </w:abstractNum>
  <w:abstractNum w:abstractNumId="21">
    <w:nsid w:val="75A2A8D4"/>
    <w:multiLevelType w:val="hybridMultilevel"/>
    <w:lvl w:ilvl="0">
      <w:lvlJc w:val="left"/>
      <w:lvlText w:val="%1"/>
      <w:numFmt w:val="decimal"/>
      <w:start w:val="1"/>
    </w:lvl>
    <w:lvl w:ilvl="1">
      <w:lvlJc w:val="left"/>
      <w:lvlText w:val="%2"/>
      <w:numFmt w:val="decimal"/>
      <w:start w:val="10"/>
    </w:lvl>
  </w:abstractNum>
  <w:abstractNum w:abstractNumId="22">
    <w:nsid w:val="8EDBDAB"/>
    <w:multiLevelType w:val="hybridMultilevel"/>
    <w:lvl w:ilvl="0">
      <w:lvlJc w:val="left"/>
      <w:lvlText w:val="(%1)"/>
      <w:numFmt w:val="decimal"/>
      <w:start w:val="1"/>
    </w:lvl>
    <w:lvl w:ilvl="1">
      <w:lvlJc w:val="left"/>
      <w:lvlText w:val="%2"/>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2024-02-07T05:16:26Z</dcterms:created>
  <dcterms:modified xsi:type="dcterms:W3CDTF">2024-02-07T05:16:26Z</dcterms:modified>
</cp:coreProperties>
</file>