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8685"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1115"/>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213995</wp:posOffset>
            </wp:positionV>
            <wp:extent cx="72586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7620"/>
                    </a:xfrm>
                    <a:prstGeom prst="rect">
                      <a:avLst/>
                    </a:prstGeom>
                    <a:noFill/>
                  </pic:spPr>
                </pic:pic>
              </a:graphicData>
            </a:graphic>
          </wp:anchor>
        </w:drawing>
        <w:t>UNITED STATES</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30"/>
          <w:szCs w:val="30"/>
          <w:b w:val="1"/>
          <w:bCs w:val="1"/>
          <w:color w:val="auto"/>
        </w:rPr>
        <w:t>SECURITIES AND EXCHANGE COMMISSION</w:t>
      </w:r>
    </w:p>
    <w:p>
      <w:pPr>
        <w:ind w:left="486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195580</wp:posOffset>
            </wp:positionV>
            <wp:extent cx="18243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left="4980"/>
        <w:spacing w:after="0"/>
        <w:rPr>
          <w:sz w:val="20"/>
          <w:szCs w:val="20"/>
          <w:color w:val="auto"/>
        </w:rPr>
      </w:pPr>
      <w:r>
        <w:rPr>
          <w:rFonts w:ascii="Arial" w:cs="Arial" w:eastAsia="Arial" w:hAnsi="Arial"/>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205105</wp:posOffset>
            </wp:positionV>
            <wp:extent cx="18243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REPORT OF FOREIGN PRIVATE ISSUER</w:t>
      </w:r>
    </w:p>
    <w:p>
      <w:pPr>
        <w:spacing w:after="0" w:line="6"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PURSUANT TO RULE 13a-16 OR 15d-16</w:t>
      </w:r>
    </w:p>
    <w:p>
      <w:pPr>
        <w:jc w:val="center"/>
        <w:ind w:right="-120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76"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For the month of October 2018</w:t>
      </w:r>
    </w:p>
    <w:p>
      <w:pPr>
        <w:spacing w:after="0" w:line="211"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001-36397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207010</wp:posOffset>
            </wp:positionV>
            <wp:extent cx="18243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200"/>
        <w:spacing w:after="0"/>
        <w:rPr>
          <w:sz w:val="20"/>
          <w:szCs w:val="20"/>
          <w:color w:val="auto"/>
        </w:rPr>
      </w:pPr>
      <w:r>
        <w:rPr>
          <w:rFonts w:ascii="Arial" w:cs="Arial" w:eastAsia="Arial" w:hAnsi="Arial"/>
          <w:sz w:val="30"/>
          <w:szCs w:val="30"/>
          <w:b w:val="1"/>
          <w:bCs w:val="1"/>
          <w:color w:val="auto"/>
        </w:rPr>
        <w:t>Weibo Corporation</w:t>
      </w:r>
    </w:p>
    <w:p>
      <w:pPr>
        <w:spacing w:after="0" w:line="28" w:lineRule="exact"/>
        <w:rPr>
          <w:sz w:val="24"/>
          <w:szCs w:val="24"/>
          <w:color w:val="auto"/>
        </w:rPr>
      </w:pPr>
    </w:p>
    <w:p>
      <w:pPr>
        <w:ind w:left="5040"/>
        <w:spacing w:after="0"/>
        <w:rPr>
          <w:sz w:val="20"/>
          <w:szCs w:val="20"/>
          <w:color w:val="auto"/>
        </w:rPr>
      </w:pPr>
      <w:r>
        <w:rPr>
          <w:rFonts w:ascii="Arial" w:cs="Arial" w:eastAsia="Arial" w:hAnsi="Arial"/>
          <w:sz w:val="16"/>
          <w:szCs w:val="16"/>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195580</wp:posOffset>
            </wp:positionV>
            <wp:extent cx="1824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8/F, QIHAO Plaza, No. 8 Xinyuan S. Road</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Chaoyang District, Beijing 100027</w:t>
      </w:r>
    </w:p>
    <w:p>
      <w:pPr>
        <w:spacing w:after="0" w:line="13"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People’s Republic of China</w:t>
      </w:r>
    </w:p>
    <w:p>
      <w:pPr>
        <w:spacing w:after="0" w:line="13"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2715895</wp:posOffset>
            </wp:positionH>
            <wp:positionV relativeFrom="paragraph">
              <wp:posOffset>197485</wp:posOffset>
            </wp:positionV>
            <wp:extent cx="18243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11" w:lineRule="exact"/>
        <w:rPr>
          <w:sz w:val="24"/>
          <w:szCs w:val="24"/>
          <w:color w:val="auto"/>
        </w:rPr>
      </w:pPr>
    </w:p>
    <w:p>
      <w:pPr>
        <w:ind w:left="4760"/>
        <w:spacing w:after="0"/>
        <w:tabs>
          <w:tab w:leader="none" w:pos="5820" w:val="left"/>
        </w:tabs>
        <w:rPr>
          <w:sz w:val="20"/>
          <w:szCs w:val="20"/>
          <w:color w:val="auto"/>
        </w:rPr>
      </w:pPr>
      <w:r>
        <w:rPr>
          <w:rFonts w:ascii="Arial" w:cs="Arial" w:eastAsia="Arial" w:hAnsi="Arial"/>
          <w:sz w:val="16"/>
          <w:szCs w:val="16"/>
          <w:color w:val="auto"/>
        </w:rPr>
        <w:t>Form 20-F x</w:t>
      </w:r>
      <w:r>
        <w:rPr>
          <w:sz w:val="20"/>
          <w:szCs w:val="20"/>
          <w:color w:val="auto"/>
        </w:rPr>
        <w:tab/>
      </w:r>
      <w:r>
        <w:rPr>
          <w:rFonts w:ascii="Arial" w:cs="Arial" w:eastAsia="Arial" w:hAnsi="Arial"/>
          <w:sz w:val="14"/>
          <w:szCs w:val="14"/>
          <w:color w:val="auto"/>
        </w:rPr>
        <w:t>Form 40-F o</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586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6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258685"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685" cy="311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397510</wp:posOffset>
            </wp:positionV>
            <wp:extent cx="7279005"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215" w:lineRule="exact"/>
        <w:rPr>
          <w:sz w:val="20"/>
          <w:szCs w:val="20"/>
          <w:color w:val="auto"/>
        </w:rPr>
      </w:pPr>
    </w:p>
    <w:p>
      <w:pPr>
        <w:ind w:right="260" w:firstLine="263"/>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0" w:type="dxa"/>
            <w:vAlign w:val="bottom"/>
          </w:tcPr>
          <w:p>
            <w:pPr>
              <w:spacing w:after="0"/>
              <w:rPr>
                <w:sz w:val="18"/>
                <w:szCs w:val="18"/>
                <w:color w:val="auto"/>
              </w:rPr>
            </w:pPr>
          </w:p>
        </w:tc>
        <w:tc>
          <w:tcPr>
            <w:tcW w:w="7820" w:type="dxa"/>
            <w:vAlign w:val="bottom"/>
            <w:gridSpan w:val="2"/>
          </w:tcPr>
          <w:p>
            <w:pPr>
              <w:ind w:left="2220"/>
              <w:spacing w:after="0"/>
              <w:rPr>
                <w:sz w:val="20"/>
                <w:szCs w:val="20"/>
                <w:color w:val="auto"/>
              </w:rPr>
            </w:pPr>
            <w:r>
              <w:rPr>
                <w:rFonts w:ascii="Arial" w:cs="Arial" w:eastAsia="Arial" w:hAnsi="Arial"/>
                <w:sz w:val="16"/>
                <w:szCs w:val="16"/>
                <w:b w:val="1"/>
                <w:bCs w:val="1"/>
                <w:color w:val="auto"/>
              </w:rPr>
              <w:t>WEIBO CORPORATION</w:t>
            </w:r>
          </w:p>
        </w:tc>
        <w:tc>
          <w:tcPr>
            <w:tcW w:w="40" w:type="dxa"/>
            <w:vAlign w:val="bottom"/>
          </w:tcPr>
          <w:p>
            <w:pPr>
              <w:spacing w:after="0"/>
              <w:rPr>
                <w:sz w:val="18"/>
                <w:szCs w:val="18"/>
                <w:color w:val="auto"/>
              </w:rPr>
            </w:pPr>
          </w:p>
        </w:tc>
      </w:tr>
      <w:tr>
        <w:trPr>
          <w:trHeight w:val="593"/>
        </w:trPr>
        <w:tc>
          <w:tcPr>
            <w:tcW w:w="3600" w:type="dxa"/>
            <w:vAlign w:val="bottom"/>
          </w:tcPr>
          <w:p>
            <w:pPr>
              <w:spacing w:after="0"/>
              <w:rPr>
                <w:sz w:val="20"/>
                <w:szCs w:val="20"/>
                <w:color w:val="auto"/>
              </w:rPr>
            </w:pPr>
            <w:r>
              <w:rPr>
                <w:rFonts w:ascii="Arial" w:cs="Arial" w:eastAsia="Arial" w:hAnsi="Arial"/>
                <w:sz w:val="16"/>
                <w:szCs w:val="16"/>
                <w:color w:val="auto"/>
              </w:rPr>
              <w:t>Date: October 18, 2018</w:t>
            </w:r>
          </w:p>
        </w:tc>
        <w:tc>
          <w:tcPr>
            <w:tcW w:w="7820" w:type="dxa"/>
            <w:vAlign w:val="bottom"/>
            <w:gridSpan w:val="2"/>
          </w:tcPr>
          <w:p>
            <w:pPr>
              <w:ind w:left="2220"/>
              <w:spacing w:after="0"/>
              <w:rPr>
                <w:sz w:val="20"/>
                <w:szCs w:val="20"/>
                <w:color w:val="auto"/>
              </w:rPr>
            </w:pPr>
            <w:r>
              <w:rPr>
                <w:rFonts w:ascii="Arial" w:cs="Arial" w:eastAsia="Arial" w:hAnsi="Arial"/>
                <w:sz w:val="16"/>
                <w:szCs w:val="16"/>
                <w:color w:val="auto"/>
              </w:rPr>
              <w:t>By:   /s/ Fei Cao</w:t>
            </w:r>
          </w:p>
        </w:tc>
        <w:tc>
          <w:tcPr>
            <w:tcW w:w="40" w:type="dxa"/>
            <w:vAlign w:val="bottom"/>
          </w:tcPr>
          <w:p>
            <w:pPr>
              <w:spacing w:after="0"/>
              <w:rPr>
                <w:sz w:val="24"/>
                <w:szCs w:val="24"/>
                <w:color w:val="auto"/>
              </w:rPr>
            </w:pPr>
          </w:p>
        </w:tc>
      </w:tr>
      <w:tr>
        <w:trPr>
          <w:trHeight w:val="178"/>
        </w:trPr>
        <w:tc>
          <w:tcPr>
            <w:tcW w:w="3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14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Fei Cao</w:t>
            </w:r>
          </w:p>
        </w:tc>
        <w:tc>
          <w:tcPr>
            <w:tcW w:w="40" w:type="dxa"/>
            <w:vAlign w:val="bottom"/>
          </w:tcPr>
          <w:p>
            <w:pPr>
              <w:spacing w:after="0"/>
              <w:rPr>
                <w:sz w:val="15"/>
                <w:szCs w:val="15"/>
                <w:color w:val="auto"/>
              </w:rPr>
            </w:pPr>
          </w:p>
        </w:tc>
      </w:tr>
      <w:tr>
        <w:trPr>
          <w:trHeight w:val="208"/>
        </w:trPr>
        <w:tc>
          <w:tcPr>
            <w:tcW w:w="3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Vice President, Finance</w:t>
            </w:r>
          </w:p>
        </w:tc>
        <w:tc>
          <w:tcPr>
            <w:tcW w:w="40" w:type="dxa"/>
            <w:vAlign w:val="bottom"/>
          </w:tcPr>
          <w:p>
            <w:pPr>
              <w:spacing w:after="0"/>
              <w:rPr>
                <w:sz w:val="18"/>
                <w:szCs w:val="18"/>
                <w:color w:val="auto"/>
              </w:rPr>
            </w:pPr>
          </w:p>
        </w:tc>
      </w:tr>
      <w:tr>
        <w:trPr>
          <w:trHeight w:val="395"/>
        </w:trPr>
        <w:tc>
          <w:tcPr>
            <w:tcW w:w="3600" w:type="dxa"/>
            <w:vAlign w:val="bottom"/>
          </w:tcPr>
          <w:p>
            <w:pPr>
              <w:spacing w:after="0"/>
              <w:rPr>
                <w:sz w:val="24"/>
                <w:szCs w:val="24"/>
                <w:color w:val="auto"/>
              </w:rPr>
            </w:pPr>
          </w:p>
        </w:tc>
        <w:tc>
          <w:tcPr>
            <w:tcW w:w="2680" w:type="dxa"/>
            <w:vAlign w:val="bottom"/>
          </w:tcPr>
          <w:p>
            <w:pPr>
              <w:jc w:val="right"/>
              <w:ind w:right="438"/>
              <w:spacing w:after="0"/>
              <w:rPr>
                <w:sz w:val="20"/>
                <w:szCs w:val="20"/>
                <w:color w:val="auto"/>
              </w:rPr>
            </w:pPr>
            <w:r>
              <w:rPr>
                <w:rFonts w:ascii="Arial" w:cs="Arial" w:eastAsia="Arial" w:hAnsi="Arial"/>
                <w:sz w:val="16"/>
                <w:szCs w:val="16"/>
                <w:color w:val="auto"/>
              </w:rPr>
              <w:t>2</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1"/>
        </w:trPr>
        <w:tc>
          <w:tcPr>
            <w:tcW w:w="360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-27940</wp:posOffset>
            </wp:positionV>
            <wp:extent cx="1270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 w:name="page3"/>
    <w:bookmarkEnd w:id="2"/>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Exhibit 99.1 — Notice of Annual General Meeting</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Exhibit 99.2 — Proxy Card for Annual General Meeting</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Exhibit 99.3 — Voting Card for ADS Holders</w:t>
      </w:r>
    </w:p>
    <w:p>
      <w:pPr>
        <w:spacing w:after="0" w:line="199"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79005"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0219"/>
          </w:cols>
          <w:pgMar w:left="240" w:top="32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WEIBO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207010</wp:posOffset>
            </wp:positionV>
            <wp:extent cx="18243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GENERAL MEETING OF SHAREHOLDERS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November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207010</wp:posOffset>
            </wp:positionV>
            <wp:extent cx="18243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right="560" w:firstLine="592"/>
        <w:spacing w:after="0" w:line="330" w:lineRule="auto"/>
        <w:rPr>
          <w:sz w:val="20"/>
          <w:szCs w:val="20"/>
          <w:color w:val="auto"/>
        </w:rPr>
      </w:pPr>
      <w:r>
        <w:rPr>
          <w:rFonts w:ascii="Arial" w:cs="Arial" w:eastAsia="Arial" w:hAnsi="Arial"/>
          <w:sz w:val="15"/>
          <w:szCs w:val="15"/>
          <w:color w:val="auto"/>
        </w:rPr>
        <w:t>On Thursday, November 22, 2018, Weibo Corporation, a Cayman Islands company (the “</w:t>
      </w:r>
      <w:r>
        <w:rPr>
          <w:rFonts w:ascii="Arial" w:cs="Arial" w:eastAsia="Arial" w:hAnsi="Arial"/>
          <w:sz w:val="15"/>
          <w:szCs w:val="15"/>
          <w:b w:val="1"/>
          <w:bCs w:val="1"/>
          <w:color w:val="auto"/>
        </w:rPr>
        <w:t>Company</w:t>
      </w:r>
      <w:r>
        <w:rPr>
          <w:rFonts w:ascii="Arial" w:cs="Arial" w:eastAsia="Arial" w:hAnsi="Arial"/>
          <w:sz w:val="15"/>
          <w:szCs w:val="15"/>
          <w:color w:val="auto"/>
        </w:rPr>
        <w:t>”), will hold its annual general meeting (the “</w:t>
      </w:r>
      <w:r>
        <w:rPr>
          <w:rFonts w:ascii="Arial" w:cs="Arial" w:eastAsia="Arial" w:hAnsi="Arial"/>
          <w:sz w:val="15"/>
          <w:szCs w:val="15"/>
          <w:b w:val="1"/>
          <w:bCs w:val="1"/>
          <w:color w:val="auto"/>
        </w:rPr>
        <w:t>AGM</w:t>
      </w:r>
      <w:r>
        <w:rPr>
          <w:rFonts w:ascii="Arial" w:cs="Arial" w:eastAsia="Arial" w:hAnsi="Arial"/>
          <w:sz w:val="15"/>
          <w:szCs w:val="15"/>
          <w:color w:val="auto"/>
        </w:rPr>
        <w:t>”) of shareholders at 42nd Floor, Edinburgh Tower, The Landmark, 15 Queen’s Road, Central, Hong Kong. The meeting will begin at 2:00 p.m. (Hong Kong time).</w:t>
      </w:r>
    </w:p>
    <w:p>
      <w:pPr>
        <w:spacing w:after="0" w:line="118" w:lineRule="exact"/>
        <w:rPr>
          <w:sz w:val="20"/>
          <w:szCs w:val="20"/>
          <w:color w:val="auto"/>
        </w:rPr>
      </w:pPr>
    </w:p>
    <w:p>
      <w:pPr>
        <w:ind w:right="120" w:firstLine="592"/>
        <w:spacing w:after="0" w:line="275" w:lineRule="auto"/>
        <w:rPr>
          <w:sz w:val="20"/>
          <w:szCs w:val="20"/>
          <w:color w:val="auto"/>
        </w:rPr>
      </w:pPr>
      <w:r>
        <w:rPr>
          <w:rFonts w:ascii="Arial" w:cs="Arial" w:eastAsia="Arial" w:hAnsi="Arial"/>
          <w:sz w:val="16"/>
          <w:szCs w:val="16"/>
          <w:color w:val="auto"/>
        </w:rPr>
        <w:t>Only shareholders registered in the Company’s register of members at the close of business on October 22, 2018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receive notice of and vote at the AGM or any adjourned or postponed meeting thereof. At the AGM, following resolutions will be considered, and if thought fit, passed as ordinary resolutions:</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“RESOLVED,</w:t>
      </w:r>
    </w:p>
    <w:p>
      <w:pPr>
        <w:spacing w:after="0" w:line="211" w:lineRule="exact"/>
        <w:rPr>
          <w:sz w:val="20"/>
          <w:szCs w:val="20"/>
          <w:color w:val="auto"/>
        </w:rPr>
      </w:pPr>
    </w:p>
    <w:p>
      <w:pPr>
        <w:ind w:left="1180" w:right="280" w:hanging="294"/>
        <w:spacing w:after="0" w:line="289" w:lineRule="auto"/>
        <w:tabs>
          <w:tab w:leader="none" w:pos="1147" w:val="left"/>
        </w:tabs>
        <w:numPr>
          <w:ilvl w:val="0"/>
          <w:numId w:val="1"/>
        </w:numPr>
        <w:rPr>
          <w:rFonts w:ascii="Arial" w:cs="Arial" w:eastAsia="Arial" w:hAnsi="Arial"/>
          <w:sz w:val="16"/>
          <w:szCs w:val="16"/>
          <w:color w:val="auto"/>
        </w:rPr>
      </w:pPr>
      <w:r>
        <w:rPr>
          <w:rFonts w:ascii="Arial" w:cs="Arial" w:eastAsia="Arial" w:hAnsi="Arial"/>
          <w:sz w:val="16"/>
          <w:szCs w:val="16"/>
          <w:color w:val="auto"/>
        </w:rPr>
        <w:t>THAT Ms. Hong Du shall be re-elected as a director of the Company at this annual general meeting and retain office until her retirement pursuant to the Company’s memorandum and articles of association; and</w:t>
      </w:r>
    </w:p>
    <w:p>
      <w:pPr>
        <w:spacing w:after="0" w:line="148" w:lineRule="exact"/>
        <w:rPr>
          <w:rFonts w:ascii="Arial" w:cs="Arial" w:eastAsia="Arial" w:hAnsi="Arial"/>
          <w:sz w:val="16"/>
          <w:szCs w:val="16"/>
          <w:color w:val="auto"/>
        </w:rPr>
      </w:pPr>
    </w:p>
    <w:p>
      <w:pPr>
        <w:ind w:left="1180" w:right="120" w:hanging="294"/>
        <w:spacing w:after="0" w:line="289" w:lineRule="auto"/>
        <w:tabs>
          <w:tab w:leader="none" w:pos="1147" w:val="left"/>
        </w:tabs>
        <w:numPr>
          <w:ilvl w:val="0"/>
          <w:numId w:val="1"/>
        </w:numPr>
        <w:rPr>
          <w:rFonts w:ascii="Arial" w:cs="Arial" w:eastAsia="Arial" w:hAnsi="Arial"/>
          <w:sz w:val="16"/>
          <w:szCs w:val="16"/>
          <w:color w:val="auto"/>
        </w:rPr>
      </w:pPr>
      <w:r>
        <w:rPr>
          <w:rFonts w:ascii="Arial" w:cs="Arial" w:eastAsia="Arial" w:hAnsi="Arial"/>
          <w:sz w:val="16"/>
          <w:szCs w:val="16"/>
          <w:color w:val="auto"/>
        </w:rPr>
        <w:t>THAT Mr. Frank Kui Tang shall be re-elected as a director of the Company at this annual general meeting and retain office until his retirement pursuant to the Company’s memorandum and articles of association.</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addition, the meeting will transact any other business properly brought before the meeting.</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Certain biographic information of Ms. Hong Du and Mr. Frank Kui Tang is set out in </w:t>
      </w:r>
      <w:r>
        <w:rPr>
          <w:rFonts w:ascii="Arial" w:cs="Arial" w:eastAsia="Arial" w:hAnsi="Arial"/>
          <w:sz w:val="16"/>
          <w:szCs w:val="16"/>
          <w:u w:val="single" w:color="auto"/>
          <w:color w:val="auto"/>
        </w:rPr>
        <w:t>Appendix I</w:t>
      </w:r>
      <w:r>
        <w:rPr>
          <w:rFonts w:ascii="Arial" w:cs="Arial" w:eastAsia="Arial" w:hAnsi="Arial"/>
          <w:sz w:val="16"/>
          <w:szCs w:val="16"/>
          <w:color w:val="auto"/>
        </w:rPr>
        <w:t xml:space="preserve"> hereto.</w:t>
      </w:r>
    </w:p>
    <w:p>
      <w:pPr>
        <w:spacing w:after="0" w:line="211" w:lineRule="exact"/>
        <w:rPr>
          <w:sz w:val="20"/>
          <w:szCs w:val="20"/>
          <w:color w:val="auto"/>
        </w:rPr>
      </w:pPr>
    </w:p>
    <w:p>
      <w:pPr>
        <w:ind w:right="80" w:firstLine="592"/>
        <w:spacing w:after="0" w:line="261" w:lineRule="auto"/>
        <w:rPr>
          <w:sz w:val="20"/>
          <w:szCs w:val="20"/>
          <w:color w:val="auto"/>
        </w:rPr>
      </w:pPr>
      <w:r>
        <w:rPr>
          <w:rFonts w:ascii="Arial" w:cs="Arial" w:eastAsia="Arial" w:hAnsi="Arial"/>
          <w:sz w:val="16"/>
          <w:szCs w:val="16"/>
          <w:color w:val="auto"/>
        </w:rPr>
        <w:t>Shareholders registered in the Company’s register of members at the close of business on the Record Date are cordially invited to attend the AGM in person. Your vote is important. Whether or not you expect to attend the AGM in person, please mark, date, sign and return the enclosed proxy card as promptly as possible, and in any event, not less than 48 hours before the time appointed for the holding of the AGM, in the postage-prepaid envelope provided to ensure your representation and the presence of a quorum at the AGM. The ordinary shares represented by all properly executed proxies returned to the Company will be voted at the AGM as indicated or, if no instruction is given, the holder of the proxy will vote the shares in his or her discretion. Where the chairman of the AGM acts as proxy and is entitled to exercise his discretion, he is likely to vote the shares FOR the resolutions. If you change your mind after you return your proxy card, you may revoke your proxy by voting in person at the AGM, or by submitting a notice of revocation of another proxy card with a later date up to 48 hours before the AGM or later at the discretion of the Chairman of the AGM.</w:t>
      </w:r>
    </w:p>
    <w:p>
      <w:pPr>
        <w:spacing w:after="0" w:line="171" w:lineRule="exact"/>
        <w:rPr>
          <w:sz w:val="20"/>
          <w:szCs w:val="20"/>
          <w:color w:val="auto"/>
        </w:rPr>
      </w:pPr>
    </w:p>
    <w:p>
      <w:pPr>
        <w:ind w:right="380" w:firstLine="592"/>
        <w:spacing w:after="0" w:line="330" w:lineRule="auto"/>
        <w:rPr>
          <w:sz w:val="20"/>
          <w:szCs w:val="20"/>
          <w:color w:val="auto"/>
        </w:rPr>
      </w:pPr>
      <w:r>
        <w:rPr>
          <w:rFonts w:ascii="Arial" w:cs="Arial" w:eastAsia="Arial" w:hAnsi="Arial"/>
          <w:sz w:val="15"/>
          <w:szCs w:val="15"/>
          <w:color w:val="auto"/>
        </w:rPr>
        <w:t>HOLDERS OF THE COMPANY’S AMERICAN DEPOSITARY SHARES (“</w:t>
      </w:r>
      <w:r>
        <w:rPr>
          <w:rFonts w:ascii="Arial" w:cs="Arial" w:eastAsia="Arial" w:hAnsi="Arial"/>
          <w:sz w:val="15"/>
          <w:szCs w:val="15"/>
          <w:b w:val="1"/>
          <w:bCs w:val="1"/>
          <w:color w:val="auto"/>
        </w:rPr>
        <w:t>ADSs</w:t>
      </w:r>
      <w:r>
        <w:rPr>
          <w:rFonts w:ascii="Arial" w:cs="Arial" w:eastAsia="Arial" w:hAnsi="Arial"/>
          <w:sz w:val="15"/>
          <w:szCs w:val="15"/>
          <w:color w:val="auto"/>
        </w:rPr>
        <w:t>”) WHO WISH TO EXERCISE THEIR VOTING RIGHTS FOR THE UNDERLYING ORDINARY SHARES MUST ACT THROUGH THE DEPOSITARY OF THE COMPANY’S ADS PROGRAM, JPMORGAN CHASE BANK, N.A.</w:t>
      </w:r>
    </w:p>
    <w:p>
      <w:pPr>
        <w:spacing w:after="0" w:line="122" w:lineRule="exact"/>
        <w:rPr>
          <w:sz w:val="20"/>
          <w:szCs w:val="20"/>
          <w:color w:val="auto"/>
        </w:rPr>
      </w:pPr>
    </w:p>
    <w:p>
      <w:pPr>
        <w:ind w:right="40" w:firstLine="592"/>
        <w:spacing w:after="0" w:line="273" w:lineRule="auto"/>
        <w:rPr>
          <w:sz w:val="20"/>
          <w:szCs w:val="20"/>
          <w:color w:val="auto"/>
        </w:rPr>
      </w:pPr>
      <w:r>
        <w:rPr>
          <w:rFonts w:ascii="Arial" w:cs="Arial" w:eastAsia="Arial" w:hAnsi="Arial"/>
          <w:sz w:val="16"/>
          <w:szCs w:val="16"/>
          <w:color w:val="auto"/>
        </w:rPr>
        <w:t>Shareholders may obtain a copy of the Company’s annual report, free of charge, from the Company’s website at ir.weibo.com, or by contacting Investor Relations Department, Weibo Corporation, No.8 Sina Plaza, Courtyard 10, the West, XiBeiWang E.R. HaiDian District, Beijing 100193, People’s Republic of China, telephone +86 10 5898-3017.</w:t>
      </w:r>
    </w:p>
    <w:p>
      <w:pPr>
        <w:spacing w:after="0" w:line="16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By Order of the Board of Directors,</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 Charles Chao</w:t>
      </w:r>
    </w:p>
    <w:p>
      <w:pPr>
        <w:spacing w:after="0" w:line="2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Charles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-116205</wp:posOffset>
            </wp:positionV>
            <wp:extent cx="35629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2985" cy="7620"/>
                    </a:xfrm>
                    <a:prstGeom prst="rect">
                      <a:avLst/>
                    </a:prstGeom>
                    <a:noFill/>
                  </pic:spPr>
                </pic:pic>
              </a:graphicData>
            </a:graphic>
          </wp:anchor>
        </w:drawing>
      </w:r>
    </w:p>
    <w:p>
      <w:pPr>
        <w:spacing w:after="0" w:line="4"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Chairman of the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Beijing, China</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October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279005"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u w:val="single" w:color="auto"/>
          <w:color w:val="auto"/>
        </w:rPr>
        <w:t>APPENDIX I</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BIOGRAPHIC INFORMATION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RETIRING DIRECTORS STANDING FOR RE-ELECTION</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Certain biographic information of the retiring directors is set forth below:</w:t>
      </w:r>
    </w:p>
    <w:p>
      <w:pPr>
        <w:spacing w:after="0" w:line="211" w:lineRule="exact"/>
        <w:rPr>
          <w:sz w:val="20"/>
          <w:szCs w:val="20"/>
          <w:color w:val="auto"/>
        </w:rPr>
      </w:pPr>
    </w:p>
    <w:p>
      <w:pPr>
        <w:ind w:firstLine="592"/>
        <w:spacing w:after="0" w:line="284" w:lineRule="auto"/>
        <w:rPr>
          <w:sz w:val="20"/>
          <w:szCs w:val="20"/>
          <w:color w:val="auto"/>
        </w:rPr>
      </w:pPr>
      <w:r>
        <w:rPr>
          <w:rFonts w:ascii="Arial" w:cs="Arial" w:eastAsia="Arial" w:hAnsi="Arial"/>
          <w:sz w:val="15"/>
          <w:szCs w:val="15"/>
          <w:i w:val="1"/>
          <w:iCs w:val="1"/>
          <w:color w:val="auto"/>
        </w:rPr>
        <w:t xml:space="preserve">Hong Du </w:t>
      </w:r>
      <w:r>
        <w:rPr>
          <w:rFonts w:ascii="Arial" w:cs="Arial" w:eastAsia="Arial" w:hAnsi="Arial"/>
          <w:sz w:val="15"/>
          <w:szCs w:val="15"/>
          <w:color w:val="auto"/>
        </w:rPr>
        <w:t>has served as our director since January 2014. Since February 2013, Ms. Du has served as SINA’s Co-President and Chief Operating Officer. Ms. Du</w:t>
      </w:r>
      <w:r>
        <w:rPr>
          <w:rFonts w:ascii="Arial" w:cs="Arial" w:eastAsia="Arial" w:hAnsi="Arial"/>
          <w:sz w:val="15"/>
          <w:szCs w:val="15"/>
          <w:i w:val="1"/>
          <w:iCs w:val="1"/>
          <w:color w:val="auto"/>
        </w:rPr>
        <w:t xml:space="preserve"> </w:t>
      </w:r>
      <w:r>
        <w:rPr>
          <w:rFonts w:ascii="Arial" w:cs="Arial" w:eastAsia="Arial" w:hAnsi="Arial"/>
          <w:sz w:val="15"/>
          <w:szCs w:val="15"/>
          <w:color w:val="auto"/>
        </w:rPr>
        <w:t>joined SINA in November 1999 and worked in Business Development until April 2004. From May 2004 to January 2005, Ms. Du served as Deputy General Manager of 1Pai.com, a joint venture between SINA and Yahoo! Ms. Du rejoined SINA in January 2005 and served as the General Manager of Sales Strategy from January 2005 to March 2005, General Manager of Sales from April 2005 to August 2005, Vice President of Sales from September 2005 to February 2007, Senior Vice President of Sales and Marketing from February 2007 to February 2008, and Chief Operating Officer from February 2008 to February 2013. Ms. Du holds a B.S. in Applied Chemistry from Harbin Institute of Technology and an M.S. in management information systems from San Francisco State University.</w:t>
      </w:r>
    </w:p>
    <w:p>
      <w:pPr>
        <w:spacing w:after="0" w:line="156" w:lineRule="exact"/>
        <w:rPr>
          <w:sz w:val="20"/>
          <w:szCs w:val="20"/>
          <w:color w:val="auto"/>
        </w:rPr>
      </w:pPr>
    </w:p>
    <w:p>
      <w:pPr>
        <w:ind w:right="40" w:firstLine="592"/>
        <w:spacing w:after="0" w:line="263" w:lineRule="auto"/>
        <w:rPr>
          <w:sz w:val="20"/>
          <w:szCs w:val="20"/>
          <w:color w:val="auto"/>
        </w:rPr>
      </w:pPr>
      <w:r>
        <w:rPr>
          <w:rFonts w:ascii="Arial" w:cs="Arial" w:eastAsia="Arial" w:hAnsi="Arial"/>
          <w:sz w:val="16"/>
          <w:szCs w:val="16"/>
          <w:i w:val="1"/>
          <w:iCs w:val="1"/>
          <w:color w:val="auto"/>
        </w:rPr>
        <w:t xml:space="preserve">Frank Kui Tang </w:t>
      </w:r>
      <w:r>
        <w:rPr>
          <w:rFonts w:ascii="Arial" w:cs="Arial" w:eastAsia="Arial" w:hAnsi="Arial"/>
          <w:sz w:val="16"/>
          <w:szCs w:val="16"/>
          <w:color w:val="auto"/>
        </w:rPr>
        <w:t>has served as our independent director since April 2014. Mr. Tang is the Chairman and Chief Executive Officer of FountainVest Partners, a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equity firm dedicated to investments China. Prior to founding FountainVest Partners, from 2005 to 2007, Mr. Tang headed the China investments for Temasek Holdings as its senior managing director. From 1994 to 2005, Mr. Tang served various positions at Goldman Sachs, including Executive Director in Principal Investment Area and Managing Director and Head of Telecom, Media and Technology investment banking in Asia ex-Japan. Mr. Tang holds an M.B.A. degree from Columbia Business School and is a member of its Board of Overseers. He is also a board governor of the China Venture Capital and Private Equity Association and a director of Accenture, a NYSE-listed company providing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279005"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WEIBO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(Incorporated in the Cayman Islands with limited liability)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(NASDAQ Ticker: WB)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197485</wp:posOffset>
            </wp:positionV>
            <wp:extent cx="18243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4355" cy="762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741"/>
        <w:spacing w:after="0"/>
        <w:rPr>
          <w:sz w:val="20"/>
          <w:szCs w:val="20"/>
          <w:color w:val="auto"/>
        </w:rPr>
      </w:pPr>
      <w:r>
        <w:rPr>
          <w:rFonts w:ascii="Arial" w:cs="Arial" w:eastAsia="Arial" w:hAnsi="Arial"/>
          <w:sz w:val="16"/>
          <w:szCs w:val="16"/>
          <w:b w:val="1"/>
          <w:bCs w:val="1"/>
          <w:color w:val="auto"/>
        </w:rPr>
        <w:t>PROXY CARD FOR ANNUAL GENERAL MEETING (OR ANY ADJOURNMENT THEREOF) TO BE HELD</w:t>
      </w:r>
    </w:p>
    <w:p>
      <w:pPr>
        <w:spacing w:after="0" w:line="28" w:lineRule="exact"/>
        <w:rPr>
          <w:sz w:val="20"/>
          <w:szCs w:val="20"/>
          <w:color w:val="auto"/>
        </w:rPr>
      </w:pPr>
    </w:p>
    <w:p>
      <w:pPr>
        <w:ind w:left="1701"/>
        <w:spacing w:after="0"/>
        <w:rPr>
          <w:sz w:val="20"/>
          <w:szCs w:val="20"/>
          <w:color w:val="auto"/>
        </w:rPr>
      </w:pPr>
      <w:r>
        <w:rPr>
          <w:rFonts w:ascii="Arial" w:cs="Arial" w:eastAsia="Arial" w:hAnsi="Arial"/>
          <w:sz w:val="16"/>
          <w:szCs w:val="16"/>
          <w:b w:val="1"/>
          <w:bCs w:val="1"/>
          <w:color w:val="auto"/>
        </w:rPr>
        <w:t>AT 42ND FLOOR, EDINBURGH TOWER, THE LANDMARK, 15 QUEEN’S ROAD, CENTRAL, HONG KONG</w:t>
      </w:r>
    </w:p>
    <w:p>
      <w:pPr>
        <w:spacing w:after="0" w:line="13" w:lineRule="exact"/>
        <w:rPr>
          <w:sz w:val="20"/>
          <w:szCs w:val="20"/>
          <w:color w:val="auto"/>
        </w:rPr>
      </w:pPr>
    </w:p>
    <w:p>
      <w:pPr>
        <w:ind w:left="3481"/>
        <w:spacing w:after="0"/>
        <w:rPr>
          <w:sz w:val="20"/>
          <w:szCs w:val="20"/>
          <w:color w:val="auto"/>
        </w:rPr>
      </w:pPr>
      <w:r>
        <w:rPr>
          <w:rFonts w:ascii="Arial" w:cs="Arial" w:eastAsia="Arial" w:hAnsi="Arial"/>
          <w:sz w:val="16"/>
          <w:szCs w:val="16"/>
          <w:b w:val="1"/>
          <w:bCs w:val="1"/>
          <w:color w:val="auto"/>
        </w:rPr>
        <w:t>ON NOVEMBER 22, 2018 AT 2:00 P.M. (HONG KONG TIME)</w:t>
      </w:r>
    </w:p>
    <w:p>
      <w:pPr>
        <w:spacing w:after="0" w:line="199" w:lineRule="exact"/>
        <w:rPr>
          <w:sz w:val="20"/>
          <w:szCs w:val="20"/>
          <w:color w:val="auto"/>
        </w:rPr>
      </w:pPr>
    </w:p>
    <w:p>
      <w:pPr>
        <w:ind w:left="1181"/>
        <w:spacing w:after="0"/>
        <w:rPr>
          <w:sz w:val="20"/>
          <w:szCs w:val="20"/>
          <w:color w:val="auto"/>
        </w:rPr>
      </w:pPr>
      <w:r>
        <w:rPr>
          <w:rFonts w:ascii="Arial" w:cs="Arial" w:eastAsia="Arial" w:hAnsi="Arial"/>
          <w:sz w:val="16"/>
          <w:szCs w:val="16"/>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1003935</wp:posOffset>
            </wp:positionH>
            <wp:positionV relativeFrom="paragraph">
              <wp:posOffset>-6350</wp:posOffset>
            </wp:positionV>
            <wp:extent cx="42005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00525" cy="7620"/>
                    </a:xfrm>
                    <a:prstGeom prst="rect">
                      <a:avLst/>
                    </a:prstGeom>
                    <a:noFill/>
                  </pic:spPr>
                </pic:pic>
              </a:graphicData>
            </a:graphic>
          </wp:anchor>
        </w:drawing>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0" w:type="dxa"/>
            <w:vAlign w:val="bottom"/>
            <w:gridSpan w:val="3"/>
          </w:tcPr>
          <w:p>
            <w:pPr>
              <w:jc w:val="center"/>
              <w:ind w:right="3660"/>
              <w:spacing w:after="0"/>
              <w:rPr>
                <w:sz w:val="20"/>
                <w:szCs w:val="20"/>
                <w:color w:val="auto"/>
              </w:rPr>
            </w:pPr>
            <w:r>
              <w:rPr>
                <w:rFonts w:ascii="Arial" w:cs="Arial" w:eastAsia="Arial" w:hAnsi="Arial"/>
                <w:sz w:val="16"/>
                <w:szCs w:val="16"/>
                <w:color w:val="auto"/>
                <w:w w:val="90"/>
              </w:rPr>
              <w:t>Please Print Name(s)</w:t>
            </w:r>
          </w:p>
        </w:tc>
      </w:tr>
      <w:tr>
        <w:trPr>
          <w:trHeight w:val="348"/>
        </w:trPr>
        <w:tc>
          <w:tcPr>
            <w:tcW w:w="112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6"/>
                <w:szCs w:val="16"/>
                <w:color w:val="auto"/>
              </w:rPr>
              <w:t>of</w:t>
            </w:r>
          </w:p>
        </w:tc>
        <w:tc>
          <w:tcPr>
            <w:tcW w:w="156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r>
      <w:tr>
        <w:trPr>
          <w:trHeight w:val="213"/>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0" w:type="dxa"/>
            <w:vAlign w:val="bottom"/>
            <w:gridSpan w:val="3"/>
          </w:tcPr>
          <w:p>
            <w:pPr>
              <w:jc w:val="center"/>
              <w:ind w:right="3640"/>
              <w:spacing w:after="0"/>
              <w:rPr>
                <w:sz w:val="20"/>
                <w:szCs w:val="20"/>
                <w:color w:val="auto"/>
              </w:rPr>
            </w:pPr>
            <w:r>
              <w:rPr>
                <w:rFonts w:ascii="Arial" w:cs="Arial" w:eastAsia="Arial" w:hAnsi="Arial"/>
                <w:sz w:val="16"/>
                <w:szCs w:val="16"/>
                <w:color w:val="auto"/>
                <w:w w:val="90"/>
              </w:rPr>
              <w:t>Please Print Address(es)</w:t>
            </w:r>
          </w:p>
        </w:tc>
      </w:tr>
      <w:tr>
        <w:trPr>
          <w:trHeight w:val="359"/>
        </w:trPr>
        <w:tc>
          <w:tcPr>
            <w:tcW w:w="3240" w:type="dxa"/>
            <w:vAlign w:val="bottom"/>
            <w:gridSpan w:val="5"/>
          </w:tcPr>
          <w:p>
            <w:pPr>
              <w:spacing w:after="0"/>
              <w:rPr>
                <w:sz w:val="20"/>
                <w:szCs w:val="20"/>
                <w:color w:val="auto"/>
              </w:rPr>
            </w:pPr>
            <w:r>
              <w:rPr>
                <w:rFonts w:ascii="Arial" w:cs="Arial" w:eastAsia="Arial" w:hAnsi="Arial"/>
                <w:sz w:val="16"/>
                <w:szCs w:val="16"/>
                <w:color w:val="auto"/>
                <w:w w:val="91"/>
              </w:rPr>
              <w:t>the undersigned, being the registered holder(s) of</w:t>
            </w: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w w:val="91"/>
              </w:rPr>
              <w:t xml:space="preserve">Class A ordinary shares </w:t>
            </w:r>
            <w:r>
              <w:rPr>
                <w:rFonts w:ascii="Arial" w:cs="Arial" w:eastAsia="Arial" w:hAnsi="Arial"/>
                <w:sz w:val="21"/>
                <w:szCs w:val="21"/>
                <w:color w:val="auto"/>
                <w:w w:val="91"/>
                <w:vertAlign w:val="superscript"/>
              </w:rPr>
              <w:t>(Note 1)</w:t>
            </w:r>
            <w:r>
              <w:rPr>
                <w:rFonts w:ascii="Arial" w:cs="Arial" w:eastAsia="Arial" w:hAnsi="Arial"/>
                <w:sz w:val="16"/>
                <w:szCs w:val="16"/>
                <w:color w:val="auto"/>
                <w:w w:val="91"/>
              </w:rPr>
              <w:t>, par value US$0.00025 per share, of Weibo Corporation (the</w:t>
            </w:r>
          </w:p>
        </w:tc>
      </w:tr>
      <w:tr>
        <w:trPr>
          <w:trHeight w:val="177"/>
        </w:trPr>
        <w:tc>
          <w:tcPr>
            <w:tcW w:w="1120" w:type="dxa"/>
            <w:vAlign w:val="bottom"/>
          </w:tcPr>
          <w:p>
            <w:pPr>
              <w:spacing w:after="0" w:line="178" w:lineRule="exact"/>
              <w:rPr>
                <w:sz w:val="20"/>
                <w:szCs w:val="20"/>
                <w:color w:val="auto"/>
              </w:rPr>
            </w:pPr>
            <w:r>
              <w:rPr>
                <w:rFonts w:ascii="Arial" w:cs="Arial" w:eastAsia="Arial" w:hAnsi="Arial"/>
                <w:sz w:val="16"/>
                <w:szCs w:val="16"/>
                <w:color w:val="auto"/>
                <w:w w:val="95"/>
              </w:rPr>
              <w:t>“Company”) and</w:t>
            </w:r>
          </w:p>
        </w:tc>
        <w:tc>
          <w:tcPr>
            <w:tcW w:w="1800" w:type="dxa"/>
            <w:vAlign w:val="bottom"/>
            <w:tcBorders>
              <w:bottom w:val="single" w:sz="8" w:color="auto"/>
            </w:tcBorders>
            <w:gridSpan w:val="3"/>
          </w:tcPr>
          <w:p>
            <w:pPr>
              <w:spacing w:after="0"/>
              <w:rPr>
                <w:sz w:val="15"/>
                <w:szCs w:val="15"/>
                <w:color w:val="auto"/>
              </w:rPr>
            </w:pPr>
          </w:p>
        </w:tc>
        <w:tc>
          <w:tcPr>
            <w:tcW w:w="8220" w:type="dxa"/>
            <w:vAlign w:val="bottom"/>
            <w:gridSpan w:val="5"/>
          </w:tcPr>
          <w:p>
            <w:pPr>
              <w:spacing w:after="0" w:line="178" w:lineRule="exact"/>
              <w:rPr>
                <w:sz w:val="20"/>
                <w:szCs w:val="20"/>
                <w:color w:val="auto"/>
              </w:rPr>
            </w:pPr>
            <w:r>
              <w:rPr>
                <w:rFonts w:ascii="Arial" w:cs="Arial" w:eastAsia="Arial" w:hAnsi="Arial"/>
                <w:sz w:val="16"/>
                <w:szCs w:val="16"/>
                <w:color w:val="auto"/>
                <w:w w:val="91"/>
              </w:rPr>
              <w:t xml:space="preserve">Class B ordinary shares </w:t>
            </w:r>
            <w:r>
              <w:rPr>
                <w:rFonts w:ascii="Arial" w:cs="Arial" w:eastAsia="Arial" w:hAnsi="Arial"/>
                <w:sz w:val="20"/>
                <w:szCs w:val="20"/>
                <w:color w:val="auto"/>
                <w:w w:val="91"/>
                <w:vertAlign w:val="superscript"/>
              </w:rPr>
              <w:t>(Note 1)</w:t>
            </w:r>
            <w:r>
              <w:rPr>
                <w:rFonts w:ascii="Arial" w:cs="Arial" w:eastAsia="Arial" w:hAnsi="Arial"/>
                <w:sz w:val="16"/>
                <w:szCs w:val="16"/>
                <w:color w:val="auto"/>
                <w:w w:val="91"/>
              </w:rPr>
              <w:t>, par value US$0.00025 per share, of the Company, hereby appoint the Chairman of the Annual</w:t>
            </w:r>
          </w:p>
        </w:tc>
      </w:tr>
      <w:tr>
        <w:trPr>
          <w:trHeight w:val="177"/>
        </w:trPr>
        <w:tc>
          <w:tcPr>
            <w:tcW w:w="2920" w:type="dxa"/>
            <w:vAlign w:val="bottom"/>
            <w:gridSpan w:val="4"/>
          </w:tcPr>
          <w:p>
            <w:pPr>
              <w:spacing w:after="0" w:line="178" w:lineRule="exact"/>
              <w:rPr>
                <w:sz w:val="20"/>
                <w:szCs w:val="20"/>
                <w:color w:val="auto"/>
              </w:rPr>
            </w:pPr>
            <w:r>
              <w:rPr>
                <w:rFonts w:ascii="Arial" w:cs="Arial" w:eastAsia="Arial" w:hAnsi="Arial"/>
                <w:sz w:val="16"/>
                <w:szCs w:val="16"/>
                <w:color w:val="auto"/>
              </w:rPr>
              <w:t>General Meeting</w:t>
            </w:r>
            <w:r>
              <w:rPr>
                <w:rFonts w:ascii="Arial" w:cs="Arial" w:eastAsia="Arial" w:hAnsi="Arial"/>
                <w:sz w:val="20"/>
                <w:szCs w:val="20"/>
                <w:color w:val="auto"/>
                <w:vertAlign w:val="superscript"/>
              </w:rPr>
              <w:t>(Note 2)</w:t>
            </w:r>
            <w:r>
              <w:rPr>
                <w:rFonts w:ascii="Arial" w:cs="Arial" w:eastAsia="Arial" w:hAnsi="Arial"/>
                <w:sz w:val="16"/>
                <w:szCs w:val="16"/>
                <w:color w:val="auto"/>
              </w:rPr>
              <w:t xml:space="preserve"> or</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0" w:type="dxa"/>
            <w:vAlign w:val="bottom"/>
            <w:gridSpan w:val="3"/>
          </w:tcPr>
          <w:p>
            <w:pPr>
              <w:ind w:left="40"/>
              <w:spacing w:after="0" w:line="178" w:lineRule="exact"/>
              <w:rPr>
                <w:sz w:val="20"/>
                <w:szCs w:val="20"/>
                <w:color w:val="auto"/>
              </w:rPr>
            </w:pPr>
            <w:r>
              <w:rPr>
                <w:rFonts w:ascii="Arial" w:cs="Arial" w:eastAsia="Arial" w:hAnsi="Arial"/>
                <w:sz w:val="16"/>
                <w:szCs w:val="16"/>
                <w:color w:val="auto"/>
              </w:rPr>
              <w:t>of</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12" w:lineRule="exact"/>
        <w:rPr>
          <w:sz w:val="20"/>
          <w:szCs w:val="20"/>
          <w:color w:val="auto"/>
        </w:rPr>
      </w:pPr>
    </w:p>
    <w:p>
      <w:pPr>
        <w:ind w:left="1"/>
        <w:spacing w:after="0"/>
        <w:rPr>
          <w:sz w:val="20"/>
          <w:szCs w:val="20"/>
          <w:color w:val="auto"/>
        </w:rPr>
      </w:pPr>
      <w:r>
        <w:rPr>
          <w:rFonts w:ascii="Arial" w:cs="Arial" w:eastAsia="Arial" w:hAnsi="Arial"/>
          <w:sz w:val="15"/>
          <w:szCs w:val="15"/>
          <w:color w:val="auto"/>
        </w:rPr>
        <w:t>__________________________________________________________________________________________ as my/our proxy to attend and act for me/us at the Annual</w:t>
      </w:r>
    </w:p>
    <w:p>
      <w:pPr>
        <w:spacing w:after="0" w:line="36" w:lineRule="exact"/>
        <w:rPr>
          <w:sz w:val="20"/>
          <w:szCs w:val="20"/>
          <w:color w:val="auto"/>
        </w:rPr>
      </w:pPr>
    </w:p>
    <w:p>
      <w:pPr>
        <w:ind w:left="1" w:right="340"/>
        <w:spacing w:after="0" w:line="274" w:lineRule="auto"/>
        <w:rPr>
          <w:sz w:val="20"/>
          <w:szCs w:val="20"/>
          <w:color w:val="auto"/>
        </w:rPr>
      </w:pPr>
      <w:r>
        <w:rPr>
          <w:rFonts w:ascii="Arial" w:cs="Arial" w:eastAsia="Arial" w:hAnsi="Arial"/>
          <w:sz w:val="16"/>
          <w:szCs w:val="16"/>
          <w:color w:val="auto"/>
        </w:rPr>
        <w:t>General Meeting and at any adjournment(s) or postponement(s) thereof, and in the event of a poll voting, to vote for me/us as indicated below, or if no such indication is given, as my/our proxy thinks fit.</w:t>
      </w:r>
    </w:p>
    <w:p>
      <w:pPr>
        <w:spacing w:after="0" w:line="153" w:lineRule="exact"/>
        <w:rPr>
          <w:sz w:val="20"/>
          <w:szCs w:val="20"/>
          <w:color w:val="auto"/>
        </w:rPr>
      </w:pPr>
    </w:p>
    <w:tbl>
      <w:tblPr>
        <w:tblLayout w:type="fixed"/>
        <w:tblInd w:w="1" w:type="dxa"/>
        <w:tblCellMar>
          <w:top w:w="0" w:type="dxa"/>
          <w:left w:w="0" w:type="dxa"/>
          <w:bottom w:w="0" w:type="dxa"/>
          <w:right w:w="0" w:type="dxa"/>
        </w:tblCellMar>
      </w:tblPr>
      <w:tr>
        <w:trPr>
          <w:trHeight w:val="128"/>
        </w:trPr>
        <w:tc>
          <w:tcPr>
            <w:tcW w:w="40" w:type="dxa"/>
            <w:vAlign w:val="bottom"/>
            <w:tcBorders>
              <w:right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8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PROPOSALS</w:t>
            </w:r>
          </w:p>
        </w:tc>
        <w:tc>
          <w:tcPr>
            <w:tcW w:w="1980" w:type="dxa"/>
            <w:vAlign w:val="bottom"/>
            <w:tcBorders>
              <w:top w:val="single" w:sz="8" w:color="auto"/>
              <w:right w:val="single" w:sz="8" w:color="auto"/>
            </w:tcBorders>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rPr>
              <w:t>FOR</w:t>
            </w:r>
          </w:p>
        </w:tc>
        <w:tc>
          <w:tcPr>
            <w:tcW w:w="1960" w:type="dxa"/>
            <w:vAlign w:val="bottom"/>
            <w:tcBorders>
              <w:top w:val="single" w:sz="8" w:color="auto"/>
              <w:right w:val="single" w:sz="8" w:color="auto"/>
            </w:tcBorders>
          </w:tcPr>
          <w:p>
            <w:pPr>
              <w:jc w:val="center"/>
              <w:ind w:right="212"/>
              <w:spacing w:after="0" w:line="129" w:lineRule="exact"/>
              <w:rPr>
                <w:sz w:val="20"/>
                <w:szCs w:val="20"/>
                <w:color w:val="auto"/>
              </w:rPr>
            </w:pPr>
            <w:r>
              <w:rPr>
                <w:rFonts w:ascii="Arial" w:cs="Arial" w:eastAsia="Arial" w:hAnsi="Arial"/>
                <w:sz w:val="13"/>
                <w:szCs w:val="13"/>
                <w:b w:val="1"/>
                <w:bCs w:val="1"/>
                <w:color w:val="auto"/>
              </w:rPr>
              <w:t>AGAINST</w:t>
            </w:r>
          </w:p>
        </w:tc>
        <w:tc>
          <w:tcPr>
            <w:tcW w:w="1700" w:type="dxa"/>
            <w:vAlign w:val="bottom"/>
            <w:tcBorders>
              <w:top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20" w:type="dxa"/>
            <w:vAlign w:val="bottom"/>
            <w:tcBorders>
              <w:bottom w:val="single" w:sz="8" w:color="auto"/>
              <w:right w:val="single" w:sz="8" w:color="auto"/>
            </w:tcBorders>
            <w:gridSpan w:val="2"/>
            <w:vMerge w:val="continue"/>
          </w:tcPr>
          <w:p>
            <w:pPr>
              <w:spacing w:after="0"/>
              <w:rPr>
                <w:sz w:val="12"/>
                <w:szCs w:val="12"/>
                <w:color w:val="auto"/>
              </w:rPr>
            </w:pPr>
          </w:p>
        </w:tc>
        <w:tc>
          <w:tcPr>
            <w:tcW w:w="1980" w:type="dxa"/>
            <w:vAlign w:val="bottom"/>
            <w:tcBorders>
              <w:bottom w:val="single" w:sz="8" w:color="auto"/>
              <w:right w:val="single" w:sz="8" w:color="auto"/>
            </w:tcBorders>
            <w:gridSpan w:val="2"/>
          </w:tcPr>
          <w:p>
            <w:pPr>
              <w:jc w:val="center"/>
              <w:ind w:right="300"/>
              <w:spacing w:after="0"/>
              <w:rPr>
                <w:sz w:val="20"/>
                <w:szCs w:val="20"/>
                <w:color w:val="auto"/>
              </w:rPr>
            </w:pPr>
            <w:r>
              <w:rPr>
                <w:rFonts w:ascii="Arial" w:cs="Arial" w:eastAsia="Arial" w:hAnsi="Arial"/>
                <w:sz w:val="8"/>
                <w:szCs w:val="8"/>
                <w:b w:val="1"/>
                <w:bCs w:val="1"/>
                <w:color w:val="auto"/>
                <w:w w:val="93"/>
              </w:rPr>
              <w:t>(Note 3)</w:t>
            </w:r>
          </w:p>
        </w:tc>
        <w:tc>
          <w:tcPr>
            <w:tcW w:w="1960" w:type="dxa"/>
            <w:vAlign w:val="bottom"/>
            <w:tcBorders>
              <w:bottom w:val="single" w:sz="8" w:color="auto"/>
              <w:right w:val="single" w:sz="8" w:color="auto"/>
            </w:tcBorders>
          </w:tcPr>
          <w:p>
            <w:pPr>
              <w:jc w:val="center"/>
              <w:ind w:right="212"/>
              <w:spacing w:after="0"/>
              <w:rPr>
                <w:sz w:val="20"/>
                <w:szCs w:val="20"/>
                <w:color w:val="auto"/>
              </w:rPr>
            </w:pPr>
            <w:r>
              <w:rPr>
                <w:rFonts w:ascii="Arial" w:cs="Arial" w:eastAsia="Arial" w:hAnsi="Arial"/>
                <w:sz w:val="8"/>
                <w:szCs w:val="8"/>
                <w:b w:val="1"/>
                <w:bCs w:val="1"/>
                <w:color w:val="auto"/>
                <w:w w:val="93"/>
              </w:rPr>
              <w:t>(Note 3)</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3"/>
              </w:rPr>
              <w:t>(Note 3)</w:t>
            </w: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1.</w:t>
            </w:r>
          </w:p>
        </w:tc>
        <w:tc>
          <w:tcPr>
            <w:tcW w:w="2020" w:type="dxa"/>
            <w:vAlign w:val="bottom"/>
            <w:gridSpan w:val="2"/>
          </w:tcPr>
          <w:p>
            <w:pPr>
              <w:ind w:left="280"/>
              <w:spacing w:after="0"/>
              <w:rPr>
                <w:sz w:val="20"/>
                <w:szCs w:val="20"/>
                <w:color w:val="auto"/>
              </w:rPr>
            </w:pPr>
            <w:r>
              <w:rPr>
                <w:rFonts w:ascii="Arial" w:cs="Arial" w:eastAsia="Arial" w:hAnsi="Arial"/>
                <w:sz w:val="16"/>
                <w:szCs w:val="16"/>
                <w:color w:val="auto"/>
                <w:w w:val="94"/>
              </w:rPr>
              <w:t>As an ordinary resolution:</w:t>
            </w:r>
          </w:p>
        </w:tc>
        <w:tc>
          <w:tcPr>
            <w:tcW w:w="132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color w:val="auto"/>
                <w:w w:val="89"/>
              </w:rPr>
              <w:t>o</w:t>
            </w:r>
          </w:p>
        </w:tc>
        <w:tc>
          <w:tcPr>
            <w:tcW w:w="1960" w:type="dxa"/>
            <w:vAlign w:val="bottom"/>
            <w:tcBorders>
              <w:right w:val="single" w:sz="8" w:color="auto"/>
            </w:tcBorders>
          </w:tcPr>
          <w:p>
            <w:pPr>
              <w:jc w:val="center"/>
              <w:ind w:right="212"/>
              <w:spacing w:after="0"/>
              <w:rPr>
                <w:sz w:val="20"/>
                <w:szCs w:val="20"/>
                <w:color w:val="auto"/>
              </w:rPr>
            </w:pPr>
            <w:r>
              <w:rPr>
                <w:rFonts w:ascii="Arial" w:cs="Arial" w:eastAsia="Arial" w:hAnsi="Arial"/>
                <w:sz w:val="16"/>
                <w:szCs w:val="16"/>
                <w:color w:val="auto"/>
                <w:w w:val="89"/>
              </w:rPr>
              <w:t>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71"/>
        </w:trPr>
        <w:tc>
          <w:tcPr>
            <w:tcW w:w="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 xml:space="preserve">THAT </w:t>
            </w:r>
            <w:r>
              <w:rPr>
                <w:rFonts w:ascii="Arial" w:cs="Arial" w:eastAsia="Arial" w:hAnsi="Arial"/>
                <w:sz w:val="16"/>
                <w:szCs w:val="16"/>
                <w:color w:val="auto"/>
              </w:rPr>
              <w:t>Ms. Hong Du shall be re-elected as a director of the</w:t>
            </w:r>
          </w:p>
        </w:tc>
        <w:tc>
          <w:tcPr>
            <w:tcW w:w="11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color w:val="auto"/>
              </w:rPr>
              <w:t>Company at this annual general meeting and retain office until</w:t>
            </w:r>
          </w:p>
        </w:tc>
        <w:tc>
          <w:tcPr>
            <w:tcW w:w="1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color w:val="auto"/>
              </w:rPr>
              <w:t>her retirement pursuant to the Company’s memorandum and</w:t>
            </w:r>
          </w:p>
        </w:tc>
        <w:tc>
          <w:tcPr>
            <w:tcW w:w="1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color w:val="auto"/>
              </w:rPr>
              <w:t>articles of association.</w:t>
            </w:r>
          </w:p>
        </w:tc>
        <w:tc>
          <w:tcPr>
            <w:tcW w:w="132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vMerge w:val="restart"/>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Borders>
              <w:right w:val="single" w:sz="8" w:color="auto"/>
            </w:tcBorders>
            <w:vMerge w:val="continue"/>
          </w:tcPr>
          <w:p>
            <w:pPr>
              <w:spacing w:after="0"/>
              <w:rPr>
                <w:sz w:val="17"/>
                <w:szCs w:val="17"/>
                <w:color w:val="auto"/>
              </w:rPr>
            </w:pPr>
          </w:p>
        </w:tc>
        <w:tc>
          <w:tcPr>
            <w:tcW w:w="8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2.</w:t>
            </w:r>
          </w:p>
        </w:tc>
        <w:tc>
          <w:tcPr>
            <w:tcW w:w="2020" w:type="dxa"/>
            <w:vAlign w:val="bottom"/>
            <w:gridSpan w:val="2"/>
          </w:tcPr>
          <w:p>
            <w:pPr>
              <w:ind w:left="280"/>
              <w:spacing w:after="0"/>
              <w:rPr>
                <w:sz w:val="20"/>
                <w:szCs w:val="20"/>
                <w:color w:val="auto"/>
              </w:rPr>
            </w:pPr>
            <w:r>
              <w:rPr>
                <w:rFonts w:ascii="Arial" w:cs="Arial" w:eastAsia="Arial" w:hAnsi="Arial"/>
                <w:sz w:val="16"/>
                <w:szCs w:val="16"/>
                <w:color w:val="auto"/>
                <w:w w:val="94"/>
              </w:rPr>
              <w:t>As an ordinary resolution:</w:t>
            </w:r>
          </w:p>
        </w:tc>
        <w:tc>
          <w:tcPr>
            <w:tcW w:w="1320" w:type="dxa"/>
            <w:vAlign w:val="bottom"/>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color w:val="auto"/>
                <w:w w:val="89"/>
              </w:rPr>
              <w:t>o</w:t>
            </w:r>
          </w:p>
        </w:tc>
        <w:tc>
          <w:tcPr>
            <w:tcW w:w="1960" w:type="dxa"/>
            <w:vAlign w:val="bottom"/>
            <w:tcBorders>
              <w:right w:val="single" w:sz="8" w:color="auto"/>
            </w:tcBorders>
          </w:tcPr>
          <w:p>
            <w:pPr>
              <w:jc w:val="center"/>
              <w:ind w:right="212"/>
              <w:spacing w:after="0"/>
              <w:rPr>
                <w:sz w:val="20"/>
                <w:szCs w:val="20"/>
                <w:color w:val="auto"/>
              </w:rPr>
            </w:pPr>
            <w:r>
              <w:rPr>
                <w:rFonts w:ascii="Arial" w:cs="Arial" w:eastAsia="Arial" w:hAnsi="Arial"/>
                <w:sz w:val="16"/>
                <w:szCs w:val="16"/>
                <w:color w:val="auto"/>
                <w:w w:val="89"/>
              </w:rPr>
              <w:t>o</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371"/>
        </w:trPr>
        <w:tc>
          <w:tcPr>
            <w:tcW w:w="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 xml:space="preserve">THAT </w:t>
            </w:r>
            <w:r>
              <w:rPr>
                <w:rFonts w:ascii="Arial" w:cs="Arial" w:eastAsia="Arial" w:hAnsi="Arial"/>
                <w:sz w:val="16"/>
                <w:szCs w:val="16"/>
                <w:color w:val="auto"/>
              </w:rPr>
              <w:t>Mr. Frank Kui Tang shall be re-elected as a director of</w:t>
            </w:r>
          </w:p>
        </w:tc>
        <w:tc>
          <w:tcPr>
            <w:tcW w:w="110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color w:val="auto"/>
              </w:rPr>
              <w:t>the Company at this annual general meeting and retain office</w:t>
            </w:r>
          </w:p>
        </w:tc>
        <w:tc>
          <w:tcPr>
            <w:tcW w:w="1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color w:val="auto"/>
              </w:rPr>
              <w:t>until his retirement pursuant to the Company’s memorandum</w:t>
            </w:r>
          </w:p>
        </w:tc>
        <w:tc>
          <w:tcPr>
            <w:tcW w:w="1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9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840" w:type="dxa"/>
            <w:vAlign w:val="bottom"/>
            <w:tcBorders>
              <w:right w:val="single" w:sz="8" w:color="auto"/>
            </w:tcBorders>
            <w:gridSpan w:val="4"/>
          </w:tcPr>
          <w:p>
            <w:pPr>
              <w:ind w:left="280"/>
              <w:spacing w:after="0"/>
              <w:rPr>
                <w:sz w:val="20"/>
                <w:szCs w:val="20"/>
                <w:color w:val="auto"/>
              </w:rPr>
            </w:pPr>
            <w:r>
              <w:rPr>
                <w:rFonts w:ascii="Arial" w:cs="Arial" w:eastAsia="Arial" w:hAnsi="Arial"/>
                <w:sz w:val="16"/>
                <w:szCs w:val="16"/>
                <w:color w:val="auto"/>
              </w:rPr>
              <w:t>and articles of association.</w:t>
            </w:r>
          </w:p>
        </w:tc>
        <w:tc>
          <w:tcPr>
            <w:tcW w:w="1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 w:type="dxa"/>
            <w:vAlign w:val="bottom"/>
            <w:tcBorders>
              <w:right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440" w:type="dxa"/>
            <w:vAlign w:val="bottom"/>
            <w:gridSpan w:val="2"/>
          </w:tcPr>
          <w:p>
            <w:pPr>
              <w:spacing w:after="0"/>
              <w:rPr>
                <w:sz w:val="20"/>
                <w:szCs w:val="20"/>
                <w:color w:val="auto"/>
              </w:rPr>
            </w:pPr>
            <w:r>
              <w:rPr>
                <w:rFonts w:ascii="Arial" w:cs="Arial" w:eastAsia="Arial" w:hAnsi="Arial"/>
                <w:sz w:val="16"/>
                <w:szCs w:val="16"/>
                <w:color w:val="auto"/>
                <w:w w:val="98"/>
              </w:rPr>
              <w:t>Dated</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80" w:type="dxa"/>
            <w:vAlign w:val="bottom"/>
          </w:tcPr>
          <w:p>
            <w:pPr>
              <w:jc w:val="right"/>
              <w:ind w:right="678"/>
              <w:spacing w:after="0"/>
              <w:rPr>
                <w:sz w:val="20"/>
                <w:szCs w:val="20"/>
                <w:color w:val="auto"/>
              </w:rPr>
            </w:pPr>
            <w:r>
              <w:rPr>
                <w:rFonts w:ascii="Arial" w:cs="Arial" w:eastAsia="Arial" w:hAnsi="Arial"/>
                <w:sz w:val="16"/>
                <w:szCs w:val="16"/>
                <w:color w:val="auto"/>
                <w:w w:val="89"/>
              </w:rPr>
              <w:t>, 2018</w:t>
            </w:r>
          </w:p>
        </w:tc>
        <w:tc>
          <w:tcPr>
            <w:tcW w:w="1320" w:type="dxa"/>
            <w:vAlign w:val="bottom"/>
          </w:tcPr>
          <w:p>
            <w:pPr>
              <w:ind w:left="100"/>
              <w:spacing w:after="0"/>
              <w:rPr>
                <w:sz w:val="20"/>
                <w:szCs w:val="20"/>
                <w:color w:val="auto"/>
              </w:rPr>
            </w:pPr>
            <w:r>
              <w:rPr>
                <w:rFonts w:ascii="Arial" w:cs="Arial" w:eastAsia="Arial" w:hAnsi="Arial"/>
                <w:sz w:val="16"/>
                <w:szCs w:val="16"/>
                <w:color w:val="auto"/>
                <w:w w:val="84"/>
              </w:rPr>
              <w:t xml:space="preserve">Signature(s) </w:t>
            </w:r>
            <w:r>
              <w:rPr>
                <w:rFonts w:ascii="Arial" w:cs="Arial" w:eastAsia="Arial" w:hAnsi="Arial"/>
                <w:sz w:val="21"/>
                <w:szCs w:val="21"/>
                <w:color w:val="auto"/>
                <w:w w:val="84"/>
                <w:vertAlign w:val="superscript"/>
              </w:rPr>
              <w:t>(Note 4)</w:t>
            </w:r>
          </w:p>
        </w:tc>
        <w:tc>
          <w:tcPr>
            <w:tcW w:w="1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 w:right="20" w:firstLine="592"/>
        <w:spacing w:after="0" w:line="329" w:lineRule="auto"/>
        <w:rPr>
          <w:sz w:val="20"/>
          <w:szCs w:val="20"/>
          <w:color w:val="auto"/>
        </w:rPr>
      </w:pPr>
      <w:r>
        <w:rPr>
          <w:rFonts w:ascii="Arial" w:cs="Arial" w:eastAsia="Arial" w:hAnsi="Arial"/>
          <w:sz w:val="14"/>
          <w:szCs w:val="14"/>
          <w:color w:val="auto"/>
        </w:rPr>
        <w:t>This proxy card must be completed, signed by the person registered in the register of members at the close of business in the Cayman Islands on October 22, 2018 (Cayman Islands time) and returned to the Company’s office (to the attention of: Investor Relations Department) at 3/F, No.8 Sina Plaza, Courtyard 10, the West, XiBeiWang E.R. HaiDian District, Beijing 100193, People’s Republic of China, no less than 48 hours before the time appointed for the holding of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183197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1975" cy="7620"/>
                    </a:xfrm>
                    <a:prstGeom prst="rect">
                      <a:avLst/>
                    </a:prstGeom>
                    <a:noFill/>
                  </pic:spPr>
                </pic:pic>
              </a:graphicData>
            </a:graphic>
          </wp:anchor>
        </w:drawing>
      </w:r>
    </w:p>
    <w:p>
      <w:pPr>
        <w:spacing w:after="0" w:line="317" w:lineRule="exact"/>
        <w:rPr>
          <w:sz w:val="20"/>
          <w:szCs w:val="20"/>
          <w:color w:val="auto"/>
        </w:rPr>
      </w:pPr>
    </w:p>
    <w:p>
      <w:pPr>
        <w:ind w:left="301" w:right="500" w:hanging="301"/>
        <w:spacing w:after="0" w:line="228" w:lineRule="auto"/>
        <w:tabs>
          <w:tab w:leader="none" w:pos="293"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Please insert the number of or strike out the class of shares registered in your name(s) to which this proxy relates. If no number is inserted, this proxy card will be deemed to relate to all the shares in the Company registered in your name(s).</w:t>
      </w:r>
    </w:p>
    <w:p>
      <w:pPr>
        <w:spacing w:after="0" w:line="184" w:lineRule="exact"/>
        <w:rPr>
          <w:sz w:val="20"/>
          <w:szCs w:val="20"/>
          <w:color w:val="auto"/>
        </w:rPr>
      </w:pPr>
    </w:p>
    <w:p>
      <w:pPr>
        <w:jc w:val="both"/>
        <w:ind w:left="301" w:right="20" w:hanging="301"/>
        <w:spacing w:after="0" w:line="239" w:lineRule="auto"/>
        <w:tabs>
          <w:tab w:leader="none" w:pos="29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If any proxy other than the Chairman is preferred, strike out the words “</w:t>
      </w:r>
      <w:r>
        <w:rPr>
          <w:rFonts w:ascii="Arial" w:cs="Arial" w:eastAsia="Arial" w:hAnsi="Arial"/>
          <w:sz w:val="16"/>
          <w:szCs w:val="16"/>
          <w:b w:val="1"/>
          <w:bCs w:val="1"/>
          <w:color w:val="auto"/>
        </w:rPr>
        <w:t>THE CHAIRMAN OF THE ANNUAL GENERAL MEETING OR</w:t>
      </w:r>
      <w:r>
        <w:rPr>
          <w:rFonts w:ascii="Arial" w:cs="Arial" w:eastAsia="Arial" w:hAnsi="Arial"/>
          <w:sz w:val="16"/>
          <w:szCs w:val="16"/>
          <w:color w:val="auto"/>
        </w:rPr>
        <w:t xml:space="preserve">” and insert the name and address of the proxy desired in the space provided. A member may appoint one or more proxies to attend and vote in his or her stead. </w:t>
      </w:r>
      <w:r>
        <w:rPr>
          <w:rFonts w:ascii="Arial" w:cs="Arial" w:eastAsia="Arial" w:hAnsi="Arial"/>
          <w:sz w:val="16"/>
          <w:szCs w:val="16"/>
          <w:b w:val="1"/>
          <w:bCs w:val="1"/>
          <w:color w:val="auto"/>
        </w:rPr>
        <w:t>ANY ALTERATION MADE TO</w:t>
      </w:r>
      <w:r>
        <w:rPr>
          <w:rFonts w:ascii="Arial" w:cs="Arial" w:eastAsia="Arial" w:hAnsi="Arial"/>
          <w:sz w:val="16"/>
          <w:szCs w:val="16"/>
          <w:color w:val="auto"/>
        </w:rPr>
        <w:t xml:space="preserve"> </w:t>
      </w:r>
      <w:r>
        <w:rPr>
          <w:rFonts w:ascii="Arial" w:cs="Arial" w:eastAsia="Arial" w:hAnsi="Arial"/>
          <w:sz w:val="16"/>
          <w:szCs w:val="16"/>
          <w:b w:val="1"/>
          <w:bCs w:val="1"/>
          <w:color w:val="auto"/>
        </w:rPr>
        <w:t>THIS PROXY CARD MUST BE INITIALED BY THE PERSON(S) WHO SIGN(S) IT</w:t>
      </w:r>
      <w:r>
        <w:rPr>
          <w:rFonts w:ascii="Arial" w:cs="Arial" w:eastAsia="Arial" w:hAnsi="Arial"/>
          <w:sz w:val="16"/>
          <w:szCs w:val="16"/>
          <w:color w:val="auto"/>
        </w:rPr>
        <w:t>.</w:t>
      </w:r>
    </w:p>
    <w:p>
      <w:pPr>
        <w:spacing w:after="0" w:line="182" w:lineRule="exact"/>
        <w:rPr>
          <w:sz w:val="20"/>
          <w:szCs w:val="20"/>
          <w:color w:val="auto"/>
        </w:rPr>
      </w:pPr>
    </w:p>
    <w:p>
      <w:pPr>
        <w:ind w:left="301" w:right="20" w:hanging="301"/>
        <w:spacing w:after="0" w:line="244" w:lineRule="auto"/>
        <w:tabs>
          <w:tab w:leader="none" w:pos="29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b w:val="1"/>
          <w:bCs w:val="1"/>
          <w:color w:val="auto"/>
        </w:rPr>
        <w:t xml:space="preserve">IMPORTANT: IF YOU WISH TO VOTE FOR THE RESOLUTION, TICK THE APPROPRIATE BOX MARKED “FOR.” IF YOU WISH TO VOTE AGAINST THE RESOLUTION, TICK THE APPROPRIATE BOX MARKED “AGAINST.” IF YOU WISH TO ABSTAIN FROM VOTING ON A PARTICULAR RESOLUTION, TICK THE APPROPRIATE BOX MARKED “ABSTAIN.” </w:t>
      </w:r>
      <w:r>
        <w:rPr>
          <w:rFonts w:ascii="Arial" w:cs="Arial" w:eastAsia="Arial" w:hAnsi="Arial"/>
          <w:sz w:val="16"/>
          <w:szCs w:val="16"/>
          <w:color w:val="auto"/>
        </w:rPr>
        <w:t>Failure to complete any or all the boxes will entitle your proxy to cast</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votes at his or her discretion.</w:t>
      </w:r>
    </w:p>
    <w:p>
      <w:pPr>
        <w:spacing w:after="0" w:line="184" w:lineRule="exact"/>
        <w:rPr>
          <w:sz w:val="20"/>
          <w:szCs w:val="20"/>
          <w:color w:val="auto"/>
        </w:rPr>
      </w:pPr>
    </w:p>
    <w:p>
      <w:pPr>
        <w:ind w:left="301" w:right="420" w:hanging="301"/>
        <w:spacing w:after="0" w:line="228" w:lineRule="auto"/>
        <w:tabs>
          <w:tab w:leader="none" w:pos="29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This proxy card must be signed by you or your attorney duly authorized in writing or, in the case of a corporation, must be executed under the hand of an officer or attorney duly authorized to sign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279005"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1421"/>
          </w:cols>
          <w:pgMar w:left="239" w:top="123" w:right="239" w:bottom="1440" w:gutter="0" w:footer="0" w:header="0"/>
        </w:sectPr>
      </w:pPr>
    </w:p>
    <w:bookmarkStart w:id="6" w:name="page7"/>
    <w:bookmarkEnd w:id="6"/>
    <w:p>
      <w:pPr>
        <w:ind w:left="938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159385</wp:posOffset>
            </wp:positionV>
            <wp:extent cx="7315835" cy="9027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5835" cy="902779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137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137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2019-12-08T09:37:34Z</dcterms:created>
  <dcterms:modified xsi:type="dcterms:W3CDTF">2019-12-08T09:37:34Z</dcterms:modified>
</cp:coreProperties>
</file>