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1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00" w:right="260" w:hanging="356"/>
        <w:spacing w:after="0" w:line="256" w:lineRule="auto"/>
        <w:tabs>
          <w:tab w:leader="none" w:pos="6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right="120" w:hanging="356"/>
        <w:spacing w:after="0" w:line="256" w:lineRule="auto"/>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2018</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right="160" w:hanging="356"/>
        <w:spacing w:after="0" w:line="256" w:lineRule="auto"/>
        <w:tabs>
          <w:tab w:leader="none" w:pos="6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hanging="356"/>
        <w:spacing w:after="0" w:line="256" w:lineRule="auto"/>
        <w:tabs>
          <w:tab w:leader="none" w:pos="6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Date of event requiring this shell company report</w:t>
      </w:r>
    </w:p>
    <w:p>
      <w:pPr>
        <w:spacing w:after="0" w:line="221" w:lineRule="exact"/>
        <w:rPr>
          <w:sz w:val="24"/>
          <w:szCs w:val="24"/>
          <w:color w:val="auto"/>
        </w:rPr>
      </w:pPr>
    </w:p>
    <w:p>
      <w:pPr>
        <w:ind w:left="34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001-36397</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WEIBO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8/F, QIHAO Plaza, No. 8 Xinyuan S. Road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Chaoyang District, Beijing 100027</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Fei Cao, Vice President, Finance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Phone: +86 10 5898-3095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Facsimile: +86 10 8260-8888</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8/F, QIHAO Plaza, No. 8 Xinyuan S. Road, Chaoyang District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Beijing 100027, People’s Republic of China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w w:val="95"/>
              </w:rPr>
              <w:t>Securities registered or to be registered pursuant to Section 12(b) of the Act.</w:t>
            </w:r>
          </w:p>
        </w:tc>
        <w:tc>
          <w:tcPr>
            <w:tcW w:w="3880" w:type="dxa"/>
            <w:vAlign w:val="bottom"/>
          </w:tcPr>
          <w:p>
            <w:pPr>
              <w:spacing w:after="0"/>
              <w:rPr>
                <w:sz w:val="20"/>
                <w:szCs w:val="20"/>
                <w:color w:val="auto"/>
              </w:rPr>
            </w:pPr>
          </w:p>
        </w:tc>
      </w:tr>
      <w:tr>
        <w:trPr>
          <w:trHeight w:val="432"/>
        </w:trPr>
        <w:tc>
          <w:tcPr>
            <w:tcW w:w="1720" w:type="dxa"/>
            <w:vAlign w:val="bottom"/>
          </w:tcPr>
          <w:p>
            <w:pPr>
              <w:spacing w:after="0"/>
              <w:rPr>
                <w:sz w:val="24"/>
                <w:szCs w:val="24"/>
                <w:color w:val="auto"/>
              </w:rPr>
            </w:pPr>
          </w:p>
        </w:tc>
        <w:tc>
          <w:tcPr>
            <w:tcW w:w="41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1720" w:type="dxa"/>
            <w:vAlign w:val="bottom"/>
          </w:tcPr>
          <w:p>
            <w:pPr>
              <w:spacing w:after="0"/>
              <w:rPr>
                <w:sz w:val="16"/>
                <w:szCs w:val="16"/>
                <w:color w:val="auto"/>
              </w:rPr>
            </w:pPr>
          </w:p>
        </w:tc>
        <w:tc>
          <w:tcPr>
            <w:tcW w:w="3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American depositary shares, each representing one</w:t>
            </w:r>
          </w:p>
        </w:tc>
        <w:tc>
          <w:tcPr>
            <w:tcW w:w="220" w:type="dxa"/>
            <w:vAlign w:val="bottom"/>
          </w:tcPr>
          <w:p>
            <w:pPr>
              <w:spacing w:after="0"/>
              <w:rPr>
                <w:sz w:val="16"/>
                <w:szCs w:val="16"/>
                <w:color w:val="auto"/>
              </w:rPr>
            </w:pPr>
          </w:p>
        </w:tc>
        <w:tc>
          <w:tcPr>
            <w:tcW w:w="3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NASDAQ Stock Market LLC</w:t>
            </w:r>
          </w:p>
        </w:tc>
      </w:tr>
      <w:tr>
        <w:trPr>
          <w:trHeight w:val="216"/>
        </w:trPr>
        <w:tc>
          <w:tcPr>
            <w:tcW w:w="1720" w:type="dxa"/>
            <w:vAlign w:val="bottom"/>
          </w:tcPr>
          <w:p>
            <w:pPr>
              <w:spacing w:after="0"/>
              <w:rPr>
                <w:sz w:val="18"/>
                <w:szCs w:val="18"/>
                <w:color w:val="auto"/>
              </w:rPr>
            </w:pP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Class A ordinary shares</w:t>
            </w: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216"/>
        </w:trPr>
        <w:tc>
          <w:tcPr>
            <w:tcW w:w="1720" w:type="dxa"/>
            <w:vAlign w:val="bottom"/>
          </w:tcPr>
          <w:p>
            <w:pPr>
              <w:spacing w:after="0"/>
              <w:rPr>
                <w:sz w:val="18"/>
                <w:szCs w:val="18"/>
                <w:color w:val="auto"/>
              </w:rPr>
            </w:pP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Class A ordinary Shares, par value $0.00025 per</w:t>
            </w: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1720" w:type="dxa"/>
            <w:vAlign w:val="bottom"/>
          </w:tcPr>
          <w:p>
            <w:pPr>
              <w:spacing w:after="0"/>
              <w:rPr>
                <w:sz w:val="20"/>
                <w:szCs w:val="20"/>
                <w:color w:val="auto"/>
              </w:rPr>
            </w:pP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share*</w:t>
            </w: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1780" w:firstLine="8"/>
        <w:spacing w:after="0" w:line="498"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on The NASDAQ Global Select Market of American depositary shares. Securities registered or to be registered pursuant to Section 12(g) of the Act.</w:t>
      </w:r>
    </w:p>
    <w:p>
      <w:pPr>
        <w:spacing w:after="0" w:line="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-130810</wp:posOffset>
            </wp:positionV>
            <wp:extent cx="7169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544"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2018, there were 224,837,551 ordinary shares outstanding, par value $0.00025 per share, being the sum of 123,058,593 Class A ordinary shares and 101,778,958 Class B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x Yes  o No</w:t>
      </w:r>
    </w:p>
    <w:p>
      <w:pPr>
        <w:spacing w:after="0" w:line="222"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o Yes  x No</w:t>
      </w:r>
    </w:p>
    <w:p>
      <w:pPr>
        <w:spacing w:after="0" w:line="222"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40"/>
        <w:spacing w:after="0"/>
        <w:rPr>
          <w:sz w:val="20"/>
          <w:szCs w:val="20"/>
          <w:color w:val="auto"/>
        </w:rPr>
      </w:pPr>
      <w:r>
        <w:rPr>
          <w:rFonts w:ascii="Arial" w:cs="Arial" w:eastAsia="Arial" w:hAnsi="Arial"/>
          <w:sz w:val="17"/>
          <w:szCs w:val="17"/>
          <w:color w:val="auto"/>
        </w:rPr>
        <w:t>x Yes  o No</w:t>
      </w:r>
    </w:p>
    <w:p>
      <w:pPr>
        <w:spacing w:after="0" w:line="22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0540"/>
        <w:spacing w:after="0"/>
        <w:rPr>
          <w:sz w:val="20"/>
          <w:szCs w:val="20"/>
          <w:color w:val="auto"/>
        </w:rPr>
      </w:pPr>
      <w:r>
        <w:rPr>
          <w:rFonts w:ascii="Arial" w:cs="Arial" w:eastAsia="Arial" w:hAnsi="Arial"/>
          <w:sz w:val="17"/>
          <w:szCs w:val="17"/>
          <w:color w:val="auto"/>
        </w:rPr>
        <w:t>x Yes  o No</w:t>
      </w:r>
    </w:p>
    <w:p>
      <w:pPr>
        <w:spacing w:after="0" w:line="22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 (Check one):</w:t>
      </w:r>
    </w:p>
    <w:p>
      <w:pPr>
        <w:spacing w:after="0" w:line="147" w:lineRule="exact"/>
        <w:rPr>
          <w:sz w:val="20"/>
          <w:szCs w:val="20"/>
          <w:color w:val="auto"/>
        </w:rPr>
      </w:pPr>
    </w:p>
    <w:p>
      <w:pPr>
        <w:ind w:left="540"/>
        <w:spacing w:after="0"/>
        <w:tabs>
          <w:tab w:leader="none" w:pos="3560" w:val="left"/>
          <w:tab w:leader="none" w:pos="6140" w:val="left"/>
          <w:tab w:leader="none" w:pos="8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Emerging growth company o</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o</w:t>
      </w:r>
    </w:p>
    <w:p>
      <w:pPr>
        <w:spacing w:after="0" w:line="181" w:lineRule="exact"/>
        <w:rPr>
          <w:sz w:val="20"/>
          <w:szCs w:val="20"/>
          <w:color w:val="auto"/>
        </w:rPr>
      </w:pPr>
    </w:p>
    <w:p>
      <w:pPr>
        <w:ind w:right="620" w:firstLine="8"/>
        <w:spacing w:after="0" w:line="277" w:lineRule="auto"/>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 GAAP 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Other o</w:t>
      </w:r>
    </w:p>
    <w:p>
      <w:pPr>
        <w:spacing w:after="0" w:line="441" w:lineRule="exact"/>
        <w:rPr>
          <w:sz w:val="20"/>
          <w:szCs w:val="20"/>
          <w:color w:val="auto"/>
        </w:rPr>
      </w:pPr>
    </w:p>
    <w:p>
      <w:pPr>
        <w:sectPr>
          <w:pgSz w:w="11900" w:h="16838" w:orient="portrait"/>
          <w:cols w:equalWidth="0" w:num="3">
            <w:col w:w="3080" w:space="720"/>
            <w:col w:w="5080" w:space="720"/>
            <w:col w:w="1820"/>
          </w:cols>
          <w:pgMar w:left="240" w:top="125" w:right="239" w:bottom="1440" w:gutter="0" w:footer="0" w:header="0"/>
          <w:type w:val="continuous"/>
        </w:sectPr>
      </w:pPr>
    </w:p>
    <w:p>
      <w:pPr>
        <w:spacing w:after="0" w:line="22" w:lineRule="exact"/>
        <w:rPr>
          <w:sz w:val="20"/>
          <w:szCs w:val="20"/>
          <w:color w:val="auto"/>
        </w:rPr>
      </w:pPr>
    </w:p>
    <w:p>
      <w:pPr>
        <w:ind w:left="9900" w:hanging="9897"/>
        <w:spacing w:after="0" w:line="342" w:lineRule="auto"/>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 o Item 17 o Item 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Yes  x 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Yes  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8"/>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Table of Contents</w:t>
              </w:r>
            </w:hyperlink>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453"/>
        </w:trPr>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10"/>
          </w:tcPr>
          <w:p>
            <w:pPr>
              <w:jc w:val="center"/>
              <w:ind w:right="480"/>
              <w:spacing w:after="0"/>
              <w:rPr>
                <w:sz w:val="20"/>
                <w:szCs w:val="20"/>
                <w:color w:val="auto"/>
              </w:rPr>
            </w:pPr>
            <w:r>
              <w:rPr>
                <w:rFonts w:ascii="Arial" w:cs="Arial" w:eastAsia="Arial" w:hAnsi="Arial"/>
                <w:sz w:val="18"/>
                <w:szCs w:val="18"/>
                <w:b w:val="1"/>
                <w:bCs w:val="1"/>
                <w:color w:val="auto"/>
                <w:w w:val="98"/>
              </w:rPr>
              <w:t>TABLE OF CONTENTS</w:t>
            </w:r>
          </w:p>
        </w:tc>
        <w:tc>
          <w:tcPr>
            <w:tcW w:w="4140" w:type="dxa"/>
            <w:vAlign w:val="bottom"/>
          </w:tcPr>
          <w:p>
            <w:pPr>
              <w:spacing w:after="0"/>
              <w:rPr>
                <w:sz w:val="24"/>
                <w:szCs w:val="24"/>
                <w:color w:val="auto"/>
              </w:rPr>
            </w:pPr>
          </w:p>
        </w:tc>
      </w:tr>
      <w:tr>
        <w:trPr>
          <w:trHeight w:val="392"/>
        </w:trPr>
        <w:tc>
          <w:tcPr>
            <w:tcW w:w="13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INTRODUCTION</w:t>
              </w:r>
            </w:hyperlink>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36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600" w:type="dxa"/>
            <w:vAlign w:val="bottom"/>
            <w:tcBorders>
              <w:top w:val="single" w:sz="8" w:color="0000EE"/>
            </w:tcBorders>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Item 1.</w:t>
              </w:r>
            </w:hyperlink>
          </w:p>
        </w:tc>
        <w:tc>
          <w:tcPr>
            <w:tcW w:w="3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56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Advisers</w:t>
              </w:r>
            </w:hyperlink>
          </w:p>
        </w:tc>
        <w:tc>
          <w:tcPr>
            <w:tcW w:w="4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6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Item 2.</w:t>
              </w:r>
            </w:hyperlink>
          </w:p>
        </w:tc>
        <w:tc>
          <w:tcPr>
            <w:tcW w:w="3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1600" w:type="dxa"/>
            <w:vAlign w:val="bottom"/>
            <w:gridSpan w:val="4"/>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0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Item 3.</w:t>
              </w:r>
            </w:hyperlink>
          </w:p>
        </w:tc>
        <w:tc>
          <w:tcPr>
            <w:tcW w:w="3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560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Item 4.</w:t>
              </w:r>
            </w:hyperlink>
          </w:p>
        </w:tc>
        <w:tc>
          <w:tcPr>
            <w:tcW w:w="3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Information on the Company</w:t>
              </w:r>
            </w:hyperlink>
          </w:p>
        </w:tc>
        <w:tc>
          <w:tcPr>
            <w:tcW w:w="3500" w:type="dxa"/>
            <w:vAlign w:val="bottom"/>
            <w:gridSpan w:val="13"/>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00" w:type="dxa"/>
            <w:vAlign w:val="bottom"/>
          </w:tcPr>
          <w:p>
            <w:pPr>
              <w:spacing w:after="0"/>
              <w:rPr>
                <w:sz w:val="17"/>
                <w:szCs w:val="17"/>
                <w:color w:val="auto"/>
              </w:rPr>
            </w:pPr>
          </w:p>
        </w:tc>
        <w:tc>
          <w:tcPr>
            <w:tcW w:w="760" w:type="dxa"/>
            <w:vAlign w:val="bottom"/>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4A.</w:t>
              </w:r>
            </w:hyperlink>
          </w:p>
        </w:tc>
        <w:tc>
          <w:tcPr>
            <w:tcW w:w="5960" w:type="dxa"/>
            <w:vAlign w:val="bottom"/>
            <w:gridSpan w:val="24"/>
          </w:tcPr>
          <w:p>
            <w:pPr>
              <w:ind w:left="36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Unresolved Staff Comments</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Item 5.</w:t>
              </w:r>
            </w:hyperlink>
          </w:p>
        </w:tc>
        <w:tc>
          <w:tcPr>
            <w:tcW w:w="22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Operating and Financial Review and Prospects</w:t>
              </w:r>
            </w:hyperlink>
          </w:p>
        </w:tc>
        <w:tc>
          <w:tcPr>
            <w:tcW w:w="2220" w:type="dxa"/>
            <w:vAlign w:val="bottom"/>
            <w:gridSpan w:val="8"/>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60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Item 6.</w:t>
              </w:r>
            </w:hyperlink>
          </w:p>
        </w:tc>
        <w:tc>
          <w:tcPr>
            <w:tcW w:w="3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5600" w:type="dxa"/>
            <w:vAlign w:val="bottom"/>
            <w:gridSpan w:val="2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Directors, Senior Management and Employees</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Item 7.</w:t>
              </w:r>
            </w:hyperlink>
          </w:p>
        </w:tc>
        <w:tc>
          <w:tcPr>
            <w:tcW w:w="3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37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Major Shareholders and Related Party Transactions</w:t>
              </w:r>
            </w:hyperlink>
          </w:p>
        </w:tc>
        <w:tc>
          <w:tcPr>
            <w:tcW w:w="1880" w:type="dxa"/>
            <w:vAlign w:val="bottom"/>
            <w:gridSpan w:val="6"/>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6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5">
              <w:r>
                <w:rPr>
                  <w:rFonts w:ascii="Arial" w:cs="Arial" w:eastAsia="Arial" w:hAnsi="Arial"/>
                  <w:sz w:val="18"/>
                  <w:szCs w:val="18"/>
                  <w:color w:val="0000EE"/>
                  <w:w w:val="79"/>
                </w:rPr>
                <w:t>Item 8.</w:t>
              </w:r>
            </w:hyperlink>
          </w:p>
        </w:tc>
        <w:tc>
          <w:tcPr>
            <w:tcW w:w="3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Financial Information</w:t>
              </w:r>
            </w:hyperlink>
          </w:p>
        </w:tc>
        <w:tc>
          <w:tcPr>
            <w:tcW w:w="4000" w:type="dxa"/>
            <w:vAlign w:val="bottom"/>
            <w:gridSpan w:val="17"/>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6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6">
              <w:r>
                <w:rPr>
                  <w:rFonts w:ascii="Arial" w:cs="Arial" w:eastAsia="Arial" w:hAnsi="Arial"/>
                  <w:sz w:val="18"/>
                  <w:szCs w:val="18"/>
                  <w:color w:val="0000EE"/>
                  <w:w w:val="79"/>
                </w:rPr>
                <w:t>Item 9.</w:t>
              </w:r>
            </w:hyperlink>
          </w:p>
        </w:tc>
        <w:tc>
          <w:tcPr>
            <w:tcW w:w="3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The Offer and Listing</w:t>
              </w:r>
            </w:hyperlink>
          </w:p>
        </w:tc>
        <w:tc>
          <w:tcPr>
            <w:tcW w:w="4020" w:type="dxa"/>
            <w:vAlign w:val="bottom"/>
            <w:gridSpan w:val="18"/>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600" w:type="dxa"/>
            <w:vAlign w:val="bottom"/>
          </w:tcPr>
          <w:p>
            <w:pPr>
              <w:spacing w:after="0"/>
              <w:rPr>
                <w:sz w:val="17"/>
                <w:szCs w:val="17"/>
                <w:color w:val="auto"/>
              </w:rPr>
            </w:pPr>
          </w:p>
        </w:tc>
        <w:tc>
          <w:tcPr>
            <w:tcW w:w="760" w:type="dxa"/>
            <w:vAlign w:val="bottom"/>
            <w:gridSpan w:val="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Item 10.</w:t>
              </w:r>
            </w:hyperlink>
          </w:p>
        </w:tc>
        <w:tc>
          <w:tcPr>
            <w:tcW w:w="5960" w:type="dxa"/>
            <w:vAlign w:val="bottom"/>
            <w:gridSpan w:val="24"/>
          </w:tcPr>
          <w:p>
            <w:pPr>
              <w:ind w:left="360"/>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Additional Information</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76"/>
              </w:rPr>
            </w:pPr>
            <w:hyperlink w:anchor="page132">
              <w:r>
                <w:rPr>
                  <w:rFonts w:ascii="Arial" w:cs="Arial" w:eastAsia="Arial" w:hAnsi="Arial"/>
                  <w:sz w:val="18"/>
                  <w:szCs w:val="18"/>
                  <w:color w:val="0000EE"/>
                  <w:w w:val="76"/>
                </w:rPr>
                <w:t>Item 11.</w:t>
              </w:r>
            </w:hyperlink>
          </w:p>
        </w:tc>
        <w:tc>
          <w:tcPr>
            <w:tcW w:w="22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5600" w:type="dxa"/>
            <w:vAlign w:val="bottom"/>
            <w:gridSpan w:val="23"/>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Quantitative and Qualitative Disclosures About Market Risk</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60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76"/>
              </w:rPr>
            </w:pPr>
            <w:hyperlink w:anchor="page133">
              <w:r>
                <w:rPr>
                  <w:rFonts w:ascii="Arial" w:cs="Arial" w:eastAsia="Arial" w:hAnsi="Arial"/>
                  <w:sz w:val="18"/>
                  <w:szCs w:val="18"/>
                  <w:color w:val="0000EE"/>
                  <w:w w:val="76"/>
                </w:rPr>
                <w:t>Item 12.</w:t>
              </w:r>
            </w:hyperlink>
          </w:p>
        </w:tc>
        <w:tc>
          <w:tcPr>
            <w:tcW w:w="22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4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Description of Securities Other than Equity Securities</w:t>
              </w:r>
            </w:hyperlink>
          </w:p>
        </w:tc>
        <w:tc>
          <w:tcPr>
            <w:tcW w:w="1240" w:type="dxa"/>
            <w:vAlign w:val="bottom"/>
            <w:gridSpan w:val="3"/>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1360" w:type="dxa"/>
            <w:vAlign w:val="bottom"/>
            <w:gridSpan w:val="8"/>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PART II</w:t>
              </w:r>
            </w:hyperlink>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76"/>
              </w:rPr>
            </w:pPr>
            <w:hyperlink w:anchor="page135">
              <w:r>
                <w:rPr>
                  <w:rFonts w:ascii="Arial" w:cs="Arial" w:eastAsia="Arial" w:hAnsi="Arial"/>
                  <w:sz w:val="18"/>
                  <w:szCs w:val="18"/>
                  <w:color w:val="0000EE"/>
                  <w:w w:val="76"/>
                </w:rPr>
                <w:t>Item 13.</w:t>
              </w:r>
            </w:hyperlink>
          </w:p>
        </w:tc>
        <w:tc>
          <w:tcPr>
            <w:tcW w:w="22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5600" w:type="dxa"/>
            <w:vAlign w:val="bottom"/>
            <w:gridSpan w:val="23"/>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Defaults, Dividend Arrearages and Delinquencies</w:t>
              </w:r>
            </w:hyperlink>
          </w:p>
        </w:tc>
        <w:tc>
          <w:tcPr>
            <w:tcW w:w="4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76"/>
              </w:rPr>
            </w:pPr>
            <w:hyperlink w:anchor="page135">
              <w:r>
                <w:rPr>
                  <w:rFonts w:ascii="Arial" w:cs="Arial" w:eastAsia="Arial" w:hAnsi="Arial"/>
                  <w:sz w:val="18"/>
                  <w:szCs w:val="18"/>
                  <w:color w:val="0000EE"/>
                  <w:w w:val="76"/>
                </w:rPr>
                <w:t>Item 14.</w:t>
              </w:r>
            </w:hyperlink>
          </w:p>
        </w:tc>
        <w:tc>
          <w:tcPr>
            <w:tcW w:w="100" w:type="dxa"/>
            <w:vAlign w:val="bottom"/>
            <w:tcBorders>
              <w:bottom w:val="single" w:sz="8" w:color="0000EE"/>
            </w:tcBorders>
          </w:tcPr>
          <w:p>
            <w:pPr>
              <w:spacing w:after="0"/>
              <w:rPr>
                <w:sz w:val="17"/>
                <w:szCs w:val="17"/>
                <w:color w:val="auto"/>
              </w:rPr>
            </w:pPr>
          </w:p>
        </w:tc>
        <w:tc>
          <w:tcPr>
            <w:tcW w:w="12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56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Material Modifications to the Rights of Security Holders and Use of Proceeds</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60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76"/>
              </w:rPr>
            </w:pPr>
            <w:hyperlink w:anchor="page135">
              <w:r>
                <w:rPr>
                  <w:rFonts w:ascii="Arial" w:cs="Arial" w:eastAsia="Arial" w:hAnsi="Arial"/>
                  <w:sz w:val="18"/>
                  <w:szCs w:val="18"/>
                  <w:color w:val="0000EE"/>
                  <w:w w:val="76"/>
                </w:rPr>
                <w:t>Item 15.</w:t>
              </w:r>
            </w:hyperlink>
          </w:p>
        </w:tc>
        <w:tc>
          <w:tcPr>
            <w:tcW w:w="22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Controls and Procedures</w:t>
              </w:r>
            </w:hyperlink>
          </w:p>
        </w:tc>
        <w:tc>
          <w:tcPr>
            <w:tcW w:w="3820" w:type="dxa"/>
            <w:vAlign w:val="bottom"/>
            <w:gridSpan w:val="15"/>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600" w:type="dxa"/>
            <w:vAlign w:val="bottom"/>
          </w:tcPr>
          <w:p>
            <w:pPr>
              <w:spacing w:after="0"/>
              <w:rPr>
                <w:sz w:val="17"/>
                <w:szCs w:val="17"/>
                <w:color w:val="auto"/>
              </w:rPr>
            </w:pPr>
          </w:p>
        </w:tc>
        <w:tc>
          <w:tcPr>
            <w:tcW w:w="6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36">
              <w:r>
                <w:rPr>
                  <w:rFonts w:ascii="Arial" w:cs="Arial" w:eastAsia="Arial" w:hAnsi="Arial"/>
                  <w:sz w:val="18"/>
                  <w:szCs w:val="18"/>
                  <w:color w:val="0000EE"/>
                  <w:w w:val="85"/>
                </w:rPr>
                <w:t>Item 16A.</w:t>
              </w:r>
            </w:hyperlink>
          </w:p>
        </w:tc>
        <w:tc>
          <w:tcPr>
            <w:tcW w:w="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5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36">
              <w:r>
                <w:rPr>
                  <w:rFonts w:ascii="Arial" w:cs="Arial" w:eastAsia="Arial" w:hAnsi="Arial"/>
                  <w:sz w:val="18"/>
                  <w:szCs w:val="18"/>
                  <w:color w:val="0000EE"/>
                  <w:w w:val="92"/>
                </w:rPr>
                <w:t>Audit Committee Financial Expert</w:t>
              </w:r>
            </w:hyperlink>
          </w:p>
        </w:tc>
        <w:tc>
          <w:tcPr>
            <w:tcW w:w="3100" w:type="dxa"/>
            <w:vAlign w:val="bottom"/>
            <w:gridSpan w:val="12"/>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600" w:type="dxa"/>
            <w:vAlign w:val="bottom"/>
          </w:tcPr>
          <w:p>
            <w:pPr>
              <w:spacing w:after="0"/>
              <w:rPr>
                <w:sz w:val="17"/>
                <w:szCs w:val="17"/>
                <w:color w:val="auto"/>
              </w:rPr>
            </w:pPr>
          </w:p>
        </w:tc>
        <w:tc>
          <w:tcPr>
            <w:tcW w:w="760" w:type="dxa"/>
            <w:vAlign w:val="bottom"/>
            <w:gridSpan w:val="7"/>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Item 16B.</w:t>
              </w:r>
            </w:hyperlink>
          </w:p>
        </w:tc>
        <w:tc>
          <w:tcPr>
            <w:tcW w:w="5960" w:type="dxa"/>
            <w:vAlign w:val="bottom"/>
            <w:gridSpan w:val="24"/>
          </w:tcPr>
          <w:p>
            <w:pPr>
              <w:ind w:left="36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Code of Ethics</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760" w:type="dxa"/>
            <w:vAlign w:val="bottom"/>
            <w:gridSpan w:val="7"/>
          </w:tcPr>
          <w:p>
            <w:pPr>
              <w:spacing w:after="0" w:line="196" w:lineRule="exact"/>
              <w:rPr>
                <w:rFonts w:ascii="Arial" w:cs="Arial" w:eastAsia="Arial" w:hAnsi="Arial"/>
                <w:sz w:val="18"/>
                <w:szCs w:val="18"/>
                <w:color w:val="0000EE"/>
                <w:w w:val="94"/>
              </w:rPr>
            </w:pPr>
            <w:hyperlink w:anchor="page136">
              <w:r>
                <w:rPr>
                  <w:rFonts w:ascii="Arial" w:cs="Arial" w:eastAsia="Arial" w:hAnsi="Arial"/>
                  <w:sz w:val="18"/>
                  <w:szCs w:val="18"/>
                  <w:color w:val="0000EE"/>
                  <w:w w:val="94"/>
                </w:rPr>
                <w:t>Item 16C.</w:t>
              </w:r>
            </w:hyperlink>
          </w:p>
        </w:tc>
        <w:tc>
          <w:tcPr>
            <w:tcW w:w="5960" w:type="dxa"/>
            <w:vAlign w:val="bottom"/>
            <w:gridSpan w:val="24"/>
          </w:tcPr>
          <w:p>
            <w:pPr>
              <w:ind w:left="36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Principal Accountant Fees and Services</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1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7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7">
              <w:r>
                <w:rPr>
                  <w:rFonts w:ascii="Arial" w:cs="Arial" w:eastAsia="Arial" w:hAnsi="Arial"/>
                  <w:sz w:val="18"/>
                  <w:szCs w:val="18"/>
                  <w:color w:val="0000EE"/>
                  <w:w w:val="87"/>
                </w:rPr>
                <w:t>Item 16D.</w:t>
              </w:r>
            </w:hyperlink>
          </w:p>
        </w:tc>
        <w:tc>
          <w:tcPr>
            <w:tcW w:w="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Exemptions from the Listing Standards for Audit Committees</w:t>
              </w:r>
            </w:hyperlink>
          </w:p>
        </w:tc>
        <w:tc>
          <w:tcPr>
            <w:tcW w:w="1140" w:type="dxa"/>
            <w:vAlign w:val="bottom"/>
            <w:gridSpan w:val="2"/>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600" w:type="dxa"/>
            <w:vAlign w:val="bottom"/>
          </w:tcPr>
          <w:p>
            <w:pPr>
              <w:spacing w:after="0"/>
              <w:rPr>
                <w:sz w:val="17"/>
                <w:szCs w:val="17"/>
                <w:color w:val="auto"/>
              </w:rPr>
            </w:pPr>
          </w:p>
        </w:tc>
        <w:tc>
          <w:tcPr>
            <w:tcW w:w="7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Item 16E.</w:t>
              </w:r>
            </w:hyperlink>
          </w:p>
        </w:tc>
        <w:tc>
          <w:tcPr>
            <w:tcW w:w="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50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Purchases of Equity Securities by the Issuer and Affiliated Purchasers</w:t>
              </w:r>
            </w:hyperlink>
          </w:p>
        </w:tc>
        <w:tc>
          <w:tcPr>
            <w:tcW w:w="560" w:type="dxa"/>
            <w:vAlign w:val="bottom"/>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60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78"/>
              </w:rPr>
            </w:pPr>
            <w:hyperlink w:anchor="page137">
              <w:r>
                <w:rPr>
                  <w:rFonts w:ascii="Arial" w:cs="Arial" w:eastAsia="Arial" w:hAnsi="Arial"/>
                  <w:sz w:val="18"/>
                  <w:szCs w:val="18"/>
                  <w:color w:val="0000EE"/>
                  <w:w w:val="78"/>
                </w:rPr>
                <w:t>Item 16F.</w:t>
              </w:r>
            </w:hyperlink>
          </w:p>
        </w:tc>
        <w:tc>
          <w:tcPr>
            <w:tcW w:w="12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5600" w:type="dxa"/>
            <w:vAlign w:val="bottom"/>
            <w:gridSpan w:val="2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Change in Registrant’s Certifying Accountant</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tcBorders>
              <w:left w:val="single" w:sz="8" w:color="0000EE"/>
            </w:tcBorders>
            <w:gridSpan w:val="7"/>
            <w:shd w:val="clear" w:color="auto" w:fill="0000EE"/>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7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37">
              <w:r>
                <w:rPr>
                  <w:rFonts w:ascii="Arial" w:cs="Arial" w:eastAsia="Arial" w:hAnsi="Arial"/>
                  <w:sz w:val="18"/>
                  <w:szCs w:val="18"/>
                  <w:color w:val="0000EE"/>
                  <w:w w:val="93"/>
                </w:rPr>
                <w:t>Item 16G.</w:t>
              </w:r>
            </w:hyperlink>
          </w:p>
        </w:tc>
        <w:tc>
          <w:tcPr>
            <w:tcW w:w="36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Corporate Governance</w:t>
              </w:r>
            </w:hyperlink>
          </w:p>
        </w:tc>
        <w:tc>
          <w:tcPr>
            <w:tcW w:w="3920" w:type="dxa"/>
            <w:vAlign w:val="bottom"/>
            <w:gridSpan w:val="16"/>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600" w:type="dxa"/>
            <w:vAlign w:val="bottom"/>
          </w:tcPr>
          <w:p>
            <w:pPr>
              <w:spacing w:after="0"/>
              <w:rPr>
                <w:sz w:val="17"/>
                <w:szCs w:val="17"/>
                <w:color w:val="auto"/>
              </w:rPr>
            </w:pPr>
          </w:p>
        </w:tc>
        <w:tc>
          <w:tcPr>
            <w:tcW w:w="680" w:type="dxa"/>
            <w:vAlign w:val="bottom"/>
            <w:gridSpan w:val="4"/>
          </w:tcPr>
          <w:p>
            <w:pPr>
              <w:spacing w:after="0" w:line="196" w:lineRule="exact"/>
              <w:rPr>
                <w:rFonts w:ascii="Arial" w:cs="Arial" w:eastAsia="Arial" w:hAnsi="Arial"/>
                <w:sz w:val="18"/>
                <w:szCs w:val="18"/>
                <w:color w:val="0000EE"/>
                <w:w w:val="84"/>
              </w:rPr>
            </w:pPr>
            <w:hyperlink w:anchor="page137">
              <w:r>
                <w:rPr>
                  <w:rFonts w:ascii="Arial" w:cs="Arial" w:eastAsia="Arial" w:hAnsi="Arial"/>
                  <w:sz w:val="18"/>
                  <w:szCs w:val="18"/>
                  <w:color w:val="0000EE"/>
                  <w:w w:val="84"/>
                </w:rPr>
                <w:t>Item 16H.</w:t>
              </w:r>
            </w:hyperlink>
          </w:p>
        </w:tc>
        <w:tc>
          <w:tcPr>
            <w:tcW w:w="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5600" w:type="dxa"/>
            <w:vAlign w:val="bottom"/>
            <w:gridSpan w:val="2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Mine Safety Disclosure</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4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92"/>
        </w:trPr>
        <w:tc>
          <w:tcPr>
            <w:tcW w:w="1360" w:type="dxa"/>
            <w:vAlign w:val="bottom"/>
            <w:gridSpan w:val="8"/>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PART III</w:t>
              </w:r>
            </w:hyperlink>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100" w:type="dxa"/>
            <w:vAlign w:val="bottom"/>
            <w:gridSpan w:val="19"/>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76"/>
              </w:rPr>
            </w:pPr>
            <w:hyperlink w:anchor="page138">
              <w:r>
                <w:rPr>
                  <w:rFonts w:ascii="Arial" w:cs="Arial" w:eastAsia="Arial" w:hAnsi="Arial"/>
                  <w:sz w:val="18"/>
                  <w:szCs w:val="18"/>
                  <w:color w:val="0000EE"/>
                  <w:w w:val="76"/>
                </w:rPr>
                <w:t>Item 17.</w:t>
              </w:r>
            </w:hyperlink>
          </w:p>
        </w:tc>
        <w:tc>
          <w:tcPr>
            <w:tcW w:w="22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5600" w:type="dxa"/>
            <w:vAlign w:val="bottom"/>
            <w:gridSpan w:val="23"/>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Financial Statements</w:t>
              </w:r>
            </w:hyperlink>
          </w:p>
        </w:tc>
        <w:tc>
          <w:tcPr>
            <w:tcW w:w="4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100" w:type="dxa"/>
            <w:vAlign w:val="bottom"/>
            <w:gridSpan w:val="19"/>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76"/>
              </w:rPr>
            </w:pPr>
            <w:hyperlink w:anchor="page138">
              <w:r>
                <w:rPr>
                  <w:rFonts w:ascii="Arial" w:cs="Arial" w:eastAsia="Arial" w:hAnsi="Arial"/>
                  <w:sz w:val="18"/>
                  <w:szCs w:val="18"/>
                  <w:color w:val="0000EE"/>
                  <w:w w:val="76"/>
                </w:rPr>
                <w:t>Item 18.</w:t>
              </w:r>
            </w:hyperlink>
          </w:p>
        </w:tc>
        <w:tc>
          <w:tcPr>
            <w:tcW w:w="22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5600" w:type="dxa"/>
            <w:vAlign w:val="bottom"/>
            <w:gridSpan w:val="2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Financial Statements</w:t>
              </w:r>
            </w:hyperlink>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60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76"/>
              </w:rPr>
            </w:pPr>
            <w:hyperlink w:anchor="page138">
              <w:r>
                <w:rPr>
                  <w:rFonts w:ascii="Arial" w:cs="Arial" w:eastAsia="Arial" w:hAnsi="Arial"/>
                  <w:sz w:val="18"/>
                  <w:szCs w:val="18"/>
                  <w:color w:val="0000EE"/>
                  <w:w w:val="76"/>
                </w:rPr>
                <w:t>Item 19.</w:t>
              </w:r>
            </w:hyperlink>
          </w:p>
        </w:tc>
        <w:tc>
          <w:tcPr>
            <w:tcW w:w="22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Exhibits</w:t>
              </w:r>
            </w:hyperlink>
          </w:p>
        </w:tc>
        <w:tc>
          <w:tcPr>
            <w:tcW w:w="4100" w:type="dxa"/>
            <w:vAlign w:val="bottom"/>
            <w:gridSpan w:val="19"/>
          </w:tcPr>
          <w:p>
            <w:pPr>
              <w:spacing w:after="0"/>
              <w:rPr>
                <w:sz w:val="17"/>
                <w:szCs w:val="17"/>
                <w:color w:val="auto"/>
              </w:rPr>
            </w:pPr>
          </w:p>
        </w:tc>
        <w:tc>
          <w:tcPr>
            <w:tcW w:w="41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1360" w:type="dxa"/>
            <w:vAlign w:val="bottom"/>
            <w:gridSpan w:val="8"/>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SIGNATURES</w:t>
              </w:r>
            </w:hyperlink>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53"/>
        </w:trPr>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jc w:val="center"/>
              <w:ind w:right="1500"/>
              <w:spacing w:after="0"/>
              <w:rPr>
                <w:sz w:val="20"/>
                <w:szCs w:val="20"/>
                <w:color w:val="auto"/>
              </w:rPr>
            </w:pPr>
            <w:r>
              <w:rPr>
                <w:rFonts w:ascii="Arial" w:cs="Arial" w:eastAsia="Arial" w:hAnsi="Arial"/>
                <w:sz w:val="18"/>
                <w:szCs w:val="18"/>
                <w:color w:val="auto"/>
              </w:rPr>
              <w:t>i</w:t>
            </w:r>
          </w:p>
        </w:tc>
        <w:tc>
          <w:tcPr>
            <w:tcW w:w="4140" w:type="dxa"/>
            <w:vAlign w:val="bottom"/>
          </w:tcPr>
          <w:p>
            <w:pPr>
              <w:spacing w:after="0"/>
              <w:rPr>
                <w:sz w:val="24"/>
                <w:szCs w:val="24"/>
                <w:color w:val="auto"/>
              </w:rPr>
            </w:pPr>
          </w:p>
        </w:tc>
      </w:tr>
      <w:tr>
        <w:trPr>
          <w:trHeight w:val="132"/>
        </w:trPr>
        <w:tc>
          <w:tcPr>
            <w:tcW w:w="6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annual report, except where the context otherwise requires and for purposes of this annual report only:</w:t>
      </w:r>
    </w:p>
    <w:p>
      <w:pPr>
        <w:spacing w:after="0" w:line="225" w:lineRule="exact"/>
        <w:rPr>
          <w:sz w:val="20"/>
          <w:szCs w:val="20"/>
          <w:color w:val="auto"/>
        </w:rPr>
      </w:pPr>
    </w:p>
    <w:p>
      <w:pPr>
        <w:ind w:left="980" w:right="480" w:hanging="324"/>
        <w:spacing w:after="0" w:line="308" w:lineRule="auto"/>
        <w:tabs>
          <w:tab w:leader="none" w:pos="944"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“us,” “our company,” “the Company” and “our” refer to Weibo Corporation, a Cayman Islands company, its subsidiaries, and, in the context of describing its operations and consolidated financial information, include its consolidated PRC affiliated entities;</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“Weibo” refers to our social media platform and the products and services that we provide to users, customers and platform partners through that platform;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“SINA” refers to Sina Corporation, our parent company and controlling shareholder;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“Weimeng” refers to Beijing Weimeng Technology Co., Ltd.;</w:t>
      </w:r>
    </w:p>
    <w:p>
      <w:pPr>
        <w:spacing w:after="0" w:line="225" w:lineRule="exact"/>
        <w:rPr>
          <w:rFonts w:ascii="Arial" w:cs="Arial" w:eastAsia="Arial" w:hAnsi="Arial"/>
          <w:sz w:val="18"/>
          <w:szCs w:val="18"/>
          <w:color w:val="auto"/>
        </w:rPr>
      </w:pPr>
    </w:p>
    <w:p>
      <w:pPr>
        <w:ind w:left="980" w:right="86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annual report only, Hong Kong Special Administrative Region, the Macau Special Administrative Region and Taiwan;</w:t>
      </w:r>
    </w:p>
    <w:p>
      <w:pPr>
        <w:spacing w:after="0" w:line="170" w:lineRule="exact"/>
        <w:rPr>
          <w:rFonts w:ascii="Arial" w:cs="Arial" w:eastAsia="Arial" w:hAnsi="Arial"/>
          <w:sz w:val="18"/>
          <w:szCs w:val="18"/>
          <w:color w:val="auto"/>
        </w:rPr>
      </w:pPr>
    </w:p>
    <w:p>
      <w:pPr>
        <w:ind w:left="980" w:hanging="324"/>
        <w:spacing w:after="0" w:line="297"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“MAUs” refers to monthly active users, which are Weibo users who logged on with a unique Weibo ID and accessed Weibo through our website, mobile website, desktop or mobile applications, SMS or connections via our platform partners’ websites or applications that are integrated with Weibo, during a given calendar month. The numbers of our MAUs are calculated using internal company data that has not been independently verified, and we treat each account as a separate user for purposes of calculating MAUs, although it is possible that certain individuals or organizations may have set up on more than one account and certain accounts are used by multiple individuals within an organization;</w:t>
      </w:r>
    </w:p>
    <w:p>
      <w:pPr>
        <w:spacing w:after="0" w:line="158" w:lineRule="exact"/>
        <w:rPr>
          <w:rFonts w:ascii="Arial" w:cs="Arial" w:eastAsia="Arial" w:hAnsi="Arial"/>
          <w:sz w:val="16"/>
          <w:szCs w:val="16"/>
          <w:color w:val="auto"/>
        </w:rPr>
      </w:pPr>
    </w:p>
    <w:p>
      <w:pPr>
        <w:ind w:left="980" w:hanging="324"/>
        <w:spacing w:after="0" w:line="273" w:lineRule="auto"/>
        <w:tabs>
          <w:tab w:leader="none" w:pos="944" w:val="left"/>
        </w:tabs>
        <w:numPr>
          <w:ilvl w:val="0"/>
          <w:numId w:val="7"/>
        </w:numPr>
        <w:rPr>
          <w:rFonts w:ascii="Arial" w:cs="Arial" w:eastAsia="Arial" w:hAnsi="Arial"/>
          <w:sz w:val="17"/>
          <w:szCs w:val="17"/>
          <w:color w:val="auto"/>
        </w:rPr>
      </w:pPr>
      <w:r>
        <w:rPr>
          <w:rFonts w:ascii="Arial" w:cs="Arial" w:eastAsia="Arial" w:hAnsi="Arial"/>
          <w:sz w:val="17"/>
          <w:szCs w:val="17"/>
          <w:color w:val="auto"/>
        </w:rPr>
        <w:t>“DAUs” refers to daily active users, which are Weibo users who logged on with a unique Weibo ID and accessed Weibo through our website, mobile website, desktop or mobile applications, SMS or connections via our platform partners’ websites or applications that are integrated with Weibo, on a given day, and “average DAUs” for a month refers to the average of the DAUs for each day during the month. The numbers of our DAUs are calculated using internal company data that has not been independently verified. We treat each account as a separate user for purposes of calculating DAUs, although it is possible that certain individuals or organizations may have set up on more than one account and certain accounts are used by multiple individuals within an organization;</w:t>
      </w:r>
    </w:p>
    <w:p>
      <w:pPr>
        <w:spacing w:after="0" w:line="178" w:lineRule="exact"/>
        <w:rPr>
          <w:rFonts w:ascii="Arial" w:cs="Arial" w:eastAsia="Arial" w:hAnsi="Arial"/>
          <w:sz w:val="17"/>
          <w:szCs w:val="17"/>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“feeds” include both posts and reposts;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or “ordinary shares” refers to our Class A and Class B ordinary shares, par value $0.00025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ADS represents one Class A ordinary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refers to generally accepted accounting principles in the United States;</w:t>
      </w:r>
    </w:p>
    <w:p>
      <w:pPr>
        <w:spacing w:after="0" w:line="225" w:lineRule="exact"/>
        <w:rPr>
          <w:rFonts w:ascii="Arial" w:cs="Arial" w:eastAsia="Arial" w:hAnsi="Arial"/>
          <w:sz w:val="18"/>
          <w:szCs w:val="18"/>
          <w:color w:val="auto"/>
        </w:rPr>
      </w:pPr>
    </w:p>
    <w:p>
      <w:pPr>
        <w:ind w:left="980" w:right="40" w:hanging="324"/>
        <w:spacing w:after="0" w:line="259"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references to “RMB” or “renminbi” are to the legal currency of China, and all references to “$,” “dollars,” “US$” and “U.S. dollars” are to the legal currency of the United States. Unless otherwise noted, all translations from RMB to U.S. dollars and from U.S. dollars to RMB in this annual report were made at a rate of RMB6.8755 to US$1.00, the exchange rate on December 31, 2018 as set forth in the H.10 statistical release published by the Federal Reserve Board; and</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discrepancies in any table between the amounts identified as total amounts and the sum of the amounts listed therein are due to rounding.</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This annual report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7"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growth of social media, internet and mobile users and internet and mobile advertising in China;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PRC governmental policies relating to media, the internet, internet content providers and online advertising.</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should thoroughly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table presents the selected consolidated financial information of our company. Our selected consolidated statements of operations data presented below for the years ended December 31, 2016, 2017 and 2018 and our selected consolidated balance sheet data as of December 31, 2017 and 2018 have been derived from our audited consolidated financial statements included elsewhere in this annual report. Our selected consolidated statements of operations data presented below for the years ended December 31, 2014 and 2015 and our selected consolidated balance sheet data as of December 31, 2014, 2015 and 2016 have been derived from our consolidated financial statements which are not included in this annual report. Our consolidated financial statements are prepared in accordance with U.S. GAAP.</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You should read the selected consolidated financial information in conjunction with our consolidated financial statements and related notes and “Item 5. Operating and Financial Review and Prospects” included elsewhere in this annual report. Our historical results are not necessarily indicative of our results expected for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4"/>
                <w:szCs w:val="14"/>
                <w:b w:val="1"/>
                <w:bCs w:val="1"/>
                <w:color w:val="auto"/>
                <w:w w:val="93"/>
              </w:rPr>
              <w:t>For the Year Ended December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71"/>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gridSpan w:val="9"/>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(in $ thousands, except for per share and per ADS data)</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Operations Data:</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marketing revenues: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rPr>
              <w:t>Third parties</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129,644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207,657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428,275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780,545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1,172,136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Alibaba</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107,587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57,908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84,688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rPr>
              <w:t>SINA and other related parties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27,551</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84,799</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131,512</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570,982</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996,745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Value-added services revenues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69,390</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75,476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84,818</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153,309</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334,172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655,800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1,150,054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1,718,518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83,599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171,231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231,255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80"/>
              <w:spacing w:after="0" w:line="21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120,361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126,059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148,283</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275,537</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527,424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Product development</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125,832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154,088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193,393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80"/>
              <w:spacing w:after="0" w:line="21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26,483</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28,925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41,218</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42,315</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intangibles impairment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356,275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514,820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742,500</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1,109,254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(loss) from equity method investments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line="216" w:lineRule="exact"/>
              <w:rPr>
                <w:sz w:val="20"/>
                <w:szCs w:val="20"/>
                <w:color w:val="auto"/>
              </w:rPr>
            </w:pPr>
            <w:r>
              <w:rPr>
                <w:rFonts w:ascii="Arial" w:cs="Arial" w:eastAsia="Arial" w:hAnsi="Arial"/>
                <w:sz w:val="18"/>
                <w:szCs w:val="18"/>
                <w:color w:val="auto"/>
              </w:rPr>
              <w:t>Fair value changes through earnings on investments</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 related impairment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(40,161)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8,757</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13,260</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investor option liability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(loss) before income tax expenses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(64,340)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109,980</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417,111</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66,746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105,664</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350,365</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572,620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the non-controlling</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(2,363)</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(2,225)</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Weibo</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108,027</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352,590</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571,823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(65,468)</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34,189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105,664</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350,365</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572,620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(18,898)</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37,822</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Available-for-sale-securities: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w w:val="98"/>
              </w:rPr>
              <w:t>Change in unrealized loss from available-for-sale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(2,557)</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Reclassification adjustment for net loss included in net income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4,822</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change</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gridSpan w:val="8"/>
          </w:tcPr>
          <w:p>
            <w:pPr>
              <w:jc w:val="right"/>
              <w:ind w:right="320"/>
              <w:spacing w:after="0" w:line="142" w:lineRule="exact"/>
              <w:rPr>
                <w:sz w:val="20"/>
                <w:szCs w:val="20"/>
                <w:color w:val="auto"/>
              </w:rPr>
            </w:pPr>
            <w:r>
              <w:rPr>
                <w:rFonts w:ascii="Arial" w:cs="Arial" w:eastAsia="Arial" w:hAnsi="Arial"/>
                <w:sz w:val="14"/>
                <w:szCs w:val="14"/>
                <w:b w:val="1"/>
                <w:bCs w:val="1"/>
                <w:color w:val="auto"/>
                <w:w w:val="91"/>
              </w:rPr>
              <w:t>(in $ thousands, except for per share and per ADS data)</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Less: Comprehensive income (loss) attributable to non-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controlling interests</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(2,637)</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line="201" w:lineRule="exact"/>
              <w:rPr>
                <w:sz w:val="20"/>
                <w:szCs w:val="20"/>
                <w:color w:val="auto"/>
              </w:rPr>
            </w:pPr>
            <w:r>
              <w:rPr>
                <w:rFonts w:ascii="Arial" w:cs="Arial" w:eastAsia="Arial" w:hAnsi="Arial"/>
                <w:sz w:val="18"/>
                <w:szCs w:val="18"/>
                <w:color w:val="auto"/>
              </w:rPr>
              <w:t>Comprehensive income (loss) attributable to Weibo’s ordinary</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80" w:type="dxa"/>
            <w:vAlign w:val="bottom"/>
            <w:vMerge w:val="continue"/>
          </w:tcPr>
          <w:p>
            <w:pPr>
              <w:spacing w:after="0"/>
              <w:rPr>
                <w:sz w:val="15"/>
                <w:szCs w:val="15"/>
                <w:color w:val="auto"/>
              </w:rPr>
            </w:pP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(68,619)</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26,946</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91,668</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389,118</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511,679</w:t>
            </w:r>
          </w:p>
        </w:tc>
        <w:tc>
          <w:tcPr>
            <w:tcW w:w="0" w:type="dxa"/>
            <w:vAlign w:val="bottom"/>
          </w:tcPr>
          <w:p>
            <w:pPr>
              <w:spacing w:after="0"/>
              <w:rPr>
                <w:sz w:val="1"/>
                <w:szCs w:val="1"/>
                <w:color w:val="auto"/>
              </w:rPr>
            </w:pPr>
          </w:p>
        </w:tc>
      </w:tr>
      <w:tr>
        <w:trPr>
          <w:trHeight w:val="257"/>
        </w:trPr>
        <w:tc>
          <w:tcPr>
            <w:tcW w:w="49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49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4"/>
              </w:rPr>
              <w:t>Shares used in computing net income (loss) per share attributable</w:t>
            </w: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Weibo’s ordinary shareholders: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186,878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208,163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214,745</w:t>
            </w: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220,555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223,751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222,859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232,683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Income (loss) per ordinary 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Income (loss) per ADS</w:t>
            </w:r>
            <w:r>
              <w:rPr>
                <w:rFonts w:ascii="Arial" w:cs="Arial" w:eastAsia="Arial" w:hAnsi="Arial"/>
                <w:sz w:val="23"/>
                <w:szCs w:val="23"/>
                <w:color w:val="auto"/>
                <w:vertAlign w:val="superscript"/>
              </w:rPr>
              <w:t>(4)</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80" w:hanging="332"/>
        <w:spacing w:after="0" w:line="297" w:lineRule="auto"/>
        <w:tabs>
          <w:tab w:leader="none" w:pos="3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January 1, 2018, we adopted new revenue guidance ASC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method under Topic 605. Topic 606 requires the presentation of value added tax (“VAT”) recognized in revenues from “gross” to “net,” which results in equal decrease in revenues and cost of revenues, and recognition of revenues and expenses at fair value for advertising barter transactions.</w:t>
      </w:r>
    </w:p>
    <w:p>
      <w:pPr>
        <w:spacing w:after="0" w:line="158" w:lineRule="exact"/>
        <w:rPr>
          <w:rFonts w:ascii="Arial" w:cs="Arial" w:eastAsia="Arial" w:hAnsi="Arial"/>
          <w:sz w:val="16"/>
          <w:szCs w:val="16"/>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was allocated in costs and expenses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5"/>
          </w:tcPr>
          <w:p>
            <w:pPr>
              <w:jc w:val="center"/>
              <w:ind w:left="735"/>
              <w:spacing w:after="0"/>
              <w:rPr>
                <w:sz w:val="20"/>
                <w:szCs w:val="20"/>
                <w:color w:val="auto"/>
              </w:rPr>
            </w:pPr>
            <w:r>
              <w:rPr>
                <w:rFonts w:ascii="Arial" w:cs="Arial" w:eastAsia="Arial" w:hAnsi="Arial"/>
                <w:sz w:val="14"/>
                <w:szCs w:val="14"/>
                <w:b w:val="1"/>
                <w:bCs w:val="1"/>
                <w:color w:val="auto"/>
                <w:w w:val="93"/>
              </w:rPr>
              <w:t>For the Year Ended December 31,</w:t>
            </w: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3"/>
          </w:tcPr>
          <w:p>
            <w:pPr>
              <w:jc w:val="center"/>
              <w:ind w:right="620"/>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jc w:val="right"/>
              <w:spacing w:after="0"/>
              <w:rPr>
                <w:sz w:val="20"/>
                <w:szCs w:val="20"/>
                <w:color w:val="auto"/>
              </w:rPr>
            </w:pPr>
            <w:r>
              <w:rPr>
                <w:rFonts w:ascii="Arial" w:cs="Arial" w:eastAsia="Arial" w:hAnsi="Arial"/>
                <w:sz w:val="18"/>
                <w:szCs w:val="18"/>
                <w:color w:val="auto"/>
              </w:rPr>
              <w:t>1,583</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3,209</w:t>
            </w:r>
          </w:p>
        </w:tc>
        <w:tc>
          <w:tcPr>
            <w:tcW w:w="1140" w:type="dxa"/>
            <w:vAlign w:val="bottom"/>
          </w:tcPr>
          <w:p>
            <w:pPr>
              <w:jc w:val="right"/>
              <w:spacing w:after="0"/>
              <w:rPr>
                <w:sz w:val="20"/>
                <w:szCs w:val="20"/>
                <w:color w:val="auto"/>
              </w:rPr>
            </w:pPr>
            <w:r>
              <w:rPr>
                <w:rFonts w:ascii="Arial" w:cs="Arial" w:eastAsia="Arial" w:hAnsi="Arial"/>
                <w:sz w:val="18"/>
                <w:szCs w:val="18"/>
                <w:color w:val="auto"/>
              </w:rPr>
              <w:t>5,357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8,264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10,210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15,076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jc w:val="right"/>
              <w:spacing w:after="0"/>
              <w:rPr>
                <w:sz w:val="20"/>
                <w:szCs w:val="20"/>
                <w:color w:val="auto"/>
              </w:rPr>
            </w:pPr>
            <w:r>
              <w:rPr>
                <w:rFonts w:ascii="Arial" w:cs="Arial" w:eastAsia="Arial" w:hAnsi="Arial"/>
                <w:sz w:val="18"/>
                <w:szCs w:val="18"/>
                <w:color w:val="auto"/>
              </w:rPr>
              <w:t>7,049</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11,784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13,853</w:t>
            </w: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14,178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9,465</w:t>
            </w: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279" w:lineRule="auto"/>
        <w:tabs>
          <w:tab w:leader="none" w:pos="361"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adopted ASU 2016-01 “Classification and Measurement of Financial Instruments” beginning the first quarter of fiscal year 2018. After the adoption of the new accounting update, we measure investments in equity securities, other than equity method investments, at fair value through earnings. For those investments without readily determinable fair values, we elected to record these investments at cost, less impairment, and plus or minus subsequent adjustments for observable price changes. Changes in the basis of these investments are reported in current earnings.</w:t>
      </w:r>
    </w:p>
    <w:p>
      <w:pPr>
        <w:spacing w:after="0" w:line="171" w:lineRule="exact"/>
        <w:rPr>
          <w:rFonts w:ascii="Arial" w:cs="Arial" w:eastAsia="Arial" w:hAnsi="Arial"/>
          <w:sz w:val="17"/>
          <w:szCs w:val="17"/>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ADS represents one Class A ordinary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0"/>
              </w:rPr>
              <w:t>As of December 31,</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left="54"/>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Balance Sheet Data:</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right"/>
              <w:spacing w:after="0"/>
              <w:rPr>
                <w:sz w:val="20"/>
                <w:szCs w:val="20"/>
                <w:color w:val="auto"/>
              </w:rPr>
            </w:pPr>
            <w:r>
              <w:rPr>
                <w:rFonts w:ascii="Arial" w:cs="Arial" w:eastAsia="Arial" w:hAnsi="Arial"/>
                <w:sz w:val="18"/>
                <w:szCs w:val="18"/>
                <w:color w:val="auto"/>
              </w:rPr>
              <w:t>284,865</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237,440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364,766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1,000,953</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1,234,596</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166,414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98,439</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31,188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791,730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591,269</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Amount due from SINA</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18,565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16,356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105,319</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703,514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839,189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1,036,944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2,561,819</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3,274,682</w:t>
            </w:r>
          </w:p>
        </w:tc>
        <w:tc>
          <w:tcPr>
            <w:tcW w:w="40" w:type="dxa"/>
            <w:vAlign w:val="bottom"/>
          </w:tcPr>
          <w:p>
            <w:pPr>
              <w:spacing w:after="0"/>
              <w:rPr>
                <w:sz w:val="18"/>
                <w:szCs w:val="18"/>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Amount due to SINA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24,279</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879,983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884,123</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136,124</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211,160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279,586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1,367,025</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1,526,544</w:t>
            </w:r>
          </w:p>
        </w:tc>
        <w:tc>
          <w:tcPr>
            <w:tcW w:w="40" w:type="dxa"/>
            <w:vAlign w:val="bottom"/>
          </w:tcPr>
          <w:p>
            <w:pPr>
              <w:spacing w:after="0"/>
              <w:rPr>
                <w:sz w:val="18"/>
                <w:szCs w:val="18"/>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jc w:val="right"/>
              <w:spacing w:after="0"/>
              <w:rPr>
                <w:sz w:val="20"/>
                <w:szCs w:val="20"/>
                <w:color w:val="auto"/>
              </w:rPr>
            </w:pPr>
            <w:r>
              <w:rPr>
                <w:rFonts w:ascii="Arial" w:cs="Arial" w:eastAsia="Arial" w:hAnsi="Arial"/>
                <w:sz w:val="18"/>
                <w:szCs w:val="18"/>
                <w:color w:val="auto"/>
              </w:rPr>
              <w:t>904,402</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938,922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979,805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1,030,048</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1,071,836</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(342,413)</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(307,668)</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(199,641)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152,949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723,181</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8,186</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4,133</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2,679</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567,390</w:t>
            </w:r>
          </w:p>
        </w:tc>
        <w:tc>
          <w:tcPr>
            <w:tcW w:w="3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757,358</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1,194,794</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1,748,138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448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360" w:hanging="652"/>
        <w:spacing w:after="0" w:line="528" w:lineRule="auto"/>
        <w:tabs>
          <w:tab w:leader="none" w:pos="663"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Capitalization and Indebtedness </w:t>
      </w:r>
      <w:r>
        <w:rPr>
          <w:rFonts w:ascii="Arial" w:cs="Arial" w:eastAsia="Arial" w:hAnsi="Arial"/>
          <w:sz w:val="17"/>
          <w:szCs w:val="17"/>
          <w:color w:val="auto"/>
        </w:rPr>
        <w:t>Not applicable.</w:t>
      </w:r>
    </w:p>
    <w:p>
      <w:pPr>
        <w:spacing w:after="0" w:line="4" w:lineRule="exact"/>
        <w:rPr>
          <w:rFonts w:ascii="Arial" w:cs="Arial" w:eastAsia="Arial" w:hAnsi="Arial"/>
          <w:sz w:val="17"/>
          <w:szCs w:val="17"/>
          <w:b w:val="1"/>
          <w:bCs w:val="1"/>
          <w:color w:val="auto"/>
        </w:rPr>
      </w:pPr>
    </w:p>
    <w:p>
      <w:pPr>
        <w:ind w:left="660" w:right="7560" w:hanging="652"/>
        <w:spacing w:after="0" w:line="498" w:lineRule="auto"/>
        <w:tabs>
          <w:tab w:leader="none" w:pos="67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Reasons for the Offer and Use of Proceeds </w:t>
      </w:r>
      <w:r>
        <w:rPr>
          <w:rFonts w:ascii="Arial" w:cs="Arial" w:eastAsia="Arial" w:hAnsi="Arial"/>
          <w:sz w:val="18"/>
          <w:szCs w:val="18"/>
          <w:color w:val="auto"/>
        </w:rPr>
        <w:t>Not applicable.</w:t>
      </w:r>
    </w:p>
    <w:p>
      <w:pPr>
        <w:spacing w:after="0" w:line="5" w:lineRule="exact"/>
        <w:rPr>
          <w:rFonts w:ascii="Arial" w:cs="Arial" w:eastAsia="Arial" w:hAnsi="Arial"/>
          <w:sz w:val="18"/>
          <w:szCs w:val="18"/>
          <w:b w:val="1"/>
          <w:bCs w:val="1"/>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If we fail to grow our active user base, or if user engagement on our platform declines, our business, financial condition and operating results may be materially and adversely affected.</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growth of our active user base and the level of user engagement are critical to our success. We had 462 million MAUs and 200 million average DAUs in December 2018. Our business has been and will continue to be significantly affected by our success in growing the number of active users and increasing their overall level of engagement on our platform, including their engagement with promoted feeds, other advertising and marketing products and value-added services on our platform. We anticipate that our user growth rate will slow over time as the size of our user base increases and as we achieve higher market penetration in China’s internet population. To the extent our user growth rate slows, our success will become increasingly dependent on our ability to increase user engagement. If people do not perceive content and other products and services on our platform to be interesting and useful, we may not be able to attract users or increase their engagement. A number of user-oriented websites that achieved early popularity have since seen their user bases or levels of engagement decline, in some cases precipitously. There is no guarantee that we will not experience a similar erosion of our active user base or engagement level. A number of factors could potentially negatively affect user growth and engagement, including if:</w:t>
      </w:r>
    </w:p>
    <w:p>
      <w:pPr>
        <w:spacing w:after="0" w:line="167"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unable to retain existing users and attract new users to our platform, or achieve greater penetration into lower tier cities in China;</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decrease in the perceived quality or reliability of the content generated by our users;</w:t>
      </w:r>
    </w:p>
    <w:p>
      <w:pPr>
        <w:spacing w:after="0" w:line="225" w:lineRule="exact"/>
        <w:rPr>
          <w:rFonts w:ascii="Arial" w:cs="Arial" w:eastAsia="Arial" w:hAnsi="Arial"/>
          <w:sz w:val="18"/>
          <w:szCs w:val="18"/>
          <w:color w:val="auto"/>
        </w:rPr>
      </w:pPr>
    </w:p>
    <w:p>
      <w:pPr>
        <w:ind w:left="980" w:right="220" w:hanging="324"/>
        <w:spacing w:after="0" w:line="308" w:lineRule="auto"/>
        <w:tabs>
          <w:tab w:leader="none" w:pos="9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large number of influencers, such as celebrities, key opinion leaders, or KOLs and other public figures, and platform partners, such as media outlets and organizations with media rights, switch to alternative platforms or use other products and services more frequently;</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unable to manage and prioritize information to ensure users are presented with content that is appropriate, interesting, useful and relevant;</w:t>
      </w:r>
    </w:p>
    <w:p>
      <w:pPr>
        <w:spacing w:after="0" w:line="248" w:lineRule="exact"/>
        <w:rPr>
          <w:rFonts w:ascii="Arial" w:cs="Arial" w:eastAsia="Arial" w:hAnsi="Arial"/>
          <w:sz w:val="16"/>
          <w:szCs w:val="16"/>
          <w:color w:val="auto"/>
        </w:rPr>
      </w:pPr>
    </w:p>
    <w:p>
      <w:pPr>
        <w:ind w:left="980" w:right="1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fail to introduce new and improved products or services or we introduce new or improved products or services that are not well received by users;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or services in a rapid and reliable manner or otherwise adversely affect the user experience;</w:t>
      </w:r>
    </w:p>
    <w:p>
      <w:pPr>
        <w:spacing w:after="0" w:line="170" w:lineRule="exact"/>
        <w:rPr>
          <w:rFonts w:ascii="Arial" w:cs="Arial" w:eastAsia="Arial" w:hAnsi="Arial"/>
          <w:sz w:val="18"/>
          <w:szCs w:val="18"/>
          <w:color w:val="auto"/>
        </w:rPr>
      </w:pPr>
    </w:p>
    <w:p>
      <w:pPr>
        <w:ind w:left="980" w:right="48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believe that their experience is diminished as a result of the decisions we make with respect to the frequency, relevance, prominence, format and quality of the advertisements displayed on our platform;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unable to combat spam or other hostile or inappropriate usage on our platform;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user concerns related to privacy and communication, safety, security or other factors;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fail to provide adequate customer service to our users;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engage with other platforms or activities instead of ours;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2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adverse changes in our products or services that are mandated by, or that we elect to make to address, legislation, regulations or government policies;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maintain our brand image or our reputation is damaged.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have undertaken various initiatives to stimulate the growth of our users and user engagement. For instance, in addition to the microblogging service with which Weibo originally started, we have added new functionalities, such as trends, search, short videos, live streaming and interest-based information feeds, which we believe have helped broaden our appeal and generate more user traffic and engagement. However, there can be no assurance that these and other strategies will continue to be effective. If we are unable to increase our user base and user engagement, our platform could be less attractive to potential new and existing users and customers, which would have a material and adverse impact on our business, financial condition and operating results.</w:t>
      </w:r>
    </w:p>
    <w:p>
      <w:pPr>
        <w:spacing w:after="0" w:line="158"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b w:val="1"/>
          <w:bCs w:val="1"/>
          <w:i w:val="1"/>
          <w:iCs w:val="1"/>
          <w:color w:val="auto"/>
        </w:rPr>
        <w:t>If our users and platform partners do not continue to contribute content or their contributions are not valuable to other users, we may experience a decline in user traffic and user engagement.</w:t>
      </w:r>
    </w:p>
    <w:p>
      <w:pPr>
        <w:spacing w:after="0" w:line="170" w:lineRule="exact"/>
        <w:rPr>
          <w:sz w:val="20"/>
          <w:szCs w:val="20"/>
          <w:color w:val="auto"/>
        </w:rPr>
      </w:pPr>
    </w:p>
    <w:p>
      <w:pPr>
        <w:ind w:right="380" w:firstLine="648"/>
        <w:spacing w:after="0" w:line="297" w:lineRule="auto"/>
        <w:rPr>
          <w:sz w:val="20"/>
          <w:szCs w:val="20"/>
          <w:color w:val="auto"/>
        </w:rPr>
      </w:pPr>
      <w:r>
        <w:rPr>
          <w:rFonts w:ascii="Arial" w:cs="Arial" w:eastAsia="Arial" w:hAnsi="Arial"/>
          <w:sz w:val="16"/>
          <w:szCs w:val="16"/>
          <w:color w:val="auto"/>
        </w:rPr>
        <w:t>Our success depends on our ability to provide users with interesting and useful content, which in turn depends on the content contributed by our users and platform partners. We believe that one of our competitive advantages is the quality, quantity and open nature of the content on Weibo, and that access to rich content is one of the main reasons users visit Weibo. We seek to foster a broader and more engaged user community, and we encourage influencers, such as celebrities, KOLs and other public figures, and platform partners, such as multi-channel networks, (“MCNs”), media outlets and organizations with media rights, to use our platform to express their views and share interesting, and high quality content.</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Among all our users, influencers have been contributing increasingly interesting and attractive contents on our platform. We provide these content creators with the opportunity to monetize their social assets on Weibo through advertising, e-commerce, paid-subscription, tipping and other means. If content creators do not see significant value from their social marketing activities on Weibo and find monetization on Weibo inadequate, we may have to subsidize them through direct content cost payout, which may have an adverse and material impact on our business and operating results. Alternatively, content creators may choose to switch to other platform and contribute less or no content to Weibo, which may cause our user base and user engagement to decline and our customers view our products and services less attractive for advertising and marketing purposes and consequently reduce their advertising spending on our platform.</w:t>
      </w:r>
    </w:p>
    <w:p>
      <w:pPr>
        <w:spacing w:after="0" w:line="18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If users and platform partners do not continue to contribute content to Weibo due to policy changes, their use of alternative communication channels or any other reasons, and we are unable to provide users with interesting, useful and timely content, our user base and user engagement may decline. If we experience a decline in the number of users or the level of user engagement, customers may not view our products and services as attractive for their advertising and marketing expenditures and may reduce their spending with us, which would materially harm our business and operating results.</w:t>
      </w:r>
    </w:p>
    <w:p>
      <w:pPr>
        <w:spacing w:after="0" w:line="154" w:lineRule="exact"/>
        <w:rPr>
          <w:sz w:val="20"/>
          <w:szCs w:val="20"/>
          <w:color w:val="auto"/>
        </w:rPr>
      </w:pPr>
    </w:p>
    <w:p>
      <w:pPr>
        <w:ind w:left="340" w:right="380"/>
        <w:spacing w:after="0" w:line="259" w:lineRule="auto"/>
        <w:rPr>
          <w:sz w:val="20"/>
          <w:szCs w:val="20"/>
          <w:color w:val="auto"/>
        </w:rPr>
      </w:pPr>
      <w:r>
        <w:rPr>
          <w:rFonts w:ascii="Arial" w:cs="Arial" w:eastAsia="Arial" w:hAnsi="Arial"/>
          <w:sz w:val="18"/>
          <w:szCs w:val="18"/>
          <w:b w:val="1"/>
          <w:bCs w:val="1"/>
          <w:i w:val="1"/>
          <w:iCs w:val="1"/>
          <w:color w:val="auto"/>
        </w:rPr>
        <w:t>We rely on our partnership program with channel partners, including application marketplaces, internet search engines, navigation sites, app preinstall partners and web browsers, to drive traffic to our platform, and if our partnership program becomes less effective or if the smartphone market slows down compared to the prior years, traffic to our platform could decline and our business and operating results could be adversely affected.</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work with application marketplaces, such as Apple’s App Store, Baidu Mobile Assistant and 360 Mobile Assistant, to drive downloads of our mobile applications. In the future, Google (Android), Apple or other operators of application marketplaces may make changes to their marketplaces and make access to our products and services more difficult. We also partner with internet search engines, navigation sites and web browsers, such as Baidu, Sogou, Hao123, Hao360, UC Browser and 360 Browser, to drive traffic to our applications and websites. For example, when a user types an inquiry into a search engine, we rely on high organic ranking of our webpages in these search results referring the user to our website. Internet search engines may modify their search algorithms, our competitors’ search engine optimization efforts may become more successful than ours, and other factors uncontrollable to us may cause our search result ranking to decline and adversely impact traffic to our platform. Similarly, navigation websites or web browsers may make decisions that result in directing less traffic to our platform. Due to intense competition in the marketplace, app preinstall partners may raise prices to a point where it becomes cost prohibitive for us to rely on them for Weibo user activation, or they may decide to discontinue their services to us altogether. Any reduction in the traffic directed to our mobile applications or websites from our channel partners, including application marketplaces, internet search engines, navigation sites, app preinstall partners and web browsers, could have a material adverse impact to our business and operating results and ultimately to our stock price.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b w:val="1"/>
          <w:bCs w:val="1"/>
          <w:i w:val="1"/>
          <w:iCs w:val="1"/>
          <w:color w:val="auto"/>
        </w:rPr>
        <w:t>If we are unable to compete effectively for user traffic or user engagement, our business and operating results may be materially and adversely affected.</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Competition for user traffic and user engagement is intense and we face strong competition in our business. Major Chinese internet companies, including Tencent, Baidu and NetEase, as well as major players in China who provide online media services, including content aggregation and distribution, compete directly with us for user traffic and user engagement, content, talent and marketing resources. As a media platform in nature, we also compete with offline media companies for audiences and content. In addition, as a social media featuring social networking services and messenger features, we are subject to intense competition from providers of similar services as well as potentially new types of online services. These services include (i) messengers and other social apps and sites, such as Weixin/WeChat, QQ Mobile, Qzone Mobile and Momo; (ii) news apps and sites, such as those operated by other major internet companies, including Tencent, Baidu, NetEase, Sohu, Phoenix News Media and Bytedance; (iii) multi-media apps (photo, short video, live streaming, etc.), such as Momo, Kuaishou, YY, iQiyi, Tencent Video, Youku Tudou and Bytedance.</w:t>
      </w:r>
    </w:p>
    <w:p>
      <w:pPr>
        <w:spacing w:after="0" w:line="17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also compete with both offline and online games for the time and money of gamers. We have begun to offer social commerce solutions to our customers that enable them to conduct e-commerce on our platform. Consequently, our offerings compete with e-commerce companies and online verticals that enable merchants to conduct e-commerce, including location-based services and online-to-offline services. In addition to direct competition, we face indirect competition from companies that sponsor or maintain high traffic volume websites or provide an initial point of entry for internet users, including but not limited to providers of search services, web browser and navigation pages, such as Baidu, UC Web and Qihoo 360. We may also face increasing competition from global social media, social networking services and messengers, such as Facebook, Instagram, Twitter, Youtube, WhatsApp, Facebook Messenger, Snapchat, Line, Kakao Talk and Snow. Some of our competitors may have substantially more cash, traffic, technical and other resources than we do. We may be unable to compete successfully against these competitors or new market entrants, which may adversely affect our business and financial performance.</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believe that our ability to compete effectively for user traffic and user engagement depends upon many factors both within and beyond our control, including:</w:t>
      </w:r>
    </w:p>
    <w:p>
      <w:pPr>
        <w:spacing w:after="0" w:line="170"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popularity, usefulness, ease of use, performance and reliability of our products and services compared to those of our competitors;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quality and timeliness of content aggregated on our platform;</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enable celebrities, KOLs, media outlets and other content creators to quickly and efficiently build a fan base and monetize from their social assets;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develop new products and services and enhancements to existing products and services to keep up with user preferences and demands;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frequency, relevance and relative prominence of the advertisements displayed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platform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effective customer service and support;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90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mandated by, or that we elect to make to address, legislation, regulations or government policies, some of which may have a disproportionate effect on us;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and brand strength relative to our competitors.</w:t>
      </w:r>
    </w:p>
    <w:p>
      <w:pPr>
        <w:spacing w:after="0" w:line="225"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b w:val="1"/>
          <w:bCs w:val="1"/>
          <w:i w:val="1"/>
          <w:iCs w:val="1"/>
          <w:color w:val="auto"/>
        </w:rPr>
        <w:t>We generate a substantial majority of our revenues from online advertising and marketing, which is novel and sometimes considered unproven. If we fail to generate sustainable revenue and profit through our advertising and marketing services, our result of operations could be materially and adversely affected.</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started to generate revenues in 2012 through advertising and marketing services, and to a less extent also through value-added services. Ever since then, advertising and marketing services have been contributing a substantial majority of our total revenues, accounting for 87% of our revenues in 2018. Therefore, any failure to continue generating sustainable revenue and profit through our advertising and marketing services could be materially harm our business.</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Compared with traditional advertising and marketing solutions, online advertising and marketing services are still new and sometimes considered experimental. In addition, we, as well as the whole industry, are endeavoring to develop novel forms of advertising and marketing services. As a result, we cannot guarantee that the advertising and marketing strategies we have adopted can generate sustainable revenues and profit. Particularly, as is common in the industry, our advertising and marketing customers do not have long-term commitments with us. In addition, some potential new customers may view our advertising and marketing services as unproven, and we may need to devote additional time and resources to convince them. Customers will not continue to do business with us or may only be willing to advertise with us at reduced prices if we do not deliver advertising and marketing services in an effective manner, or if they do not believe that their investment in advertising and marketing with us will generate a competitive return relative to alternative advertising platforms.</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ability to add new customers and increase spending of existing customers can be particularly affected by our ability to provide timely and reliable measurement analysis of customers’ advertising campaigns on Weibo, as some customers, especially key accounts, rely on advertisement measurement to evaluate advertising effectiveness. We are working with third-party measurement firms to provide these data services to our customers but the online advertisement measurement market in China is nascent. We cannot assure you that our measurement partners will be able to provide measurement to the satisfaction of our customers. If our customers are unable to obtain measurement results on their marketing campaigns on Weibo to their satisfaction, our customers may be less willing to maintain or expand their advertising spending on our platform, and our financial conditions, results of operations and prospects may be materially and adversely affected.</w:t>
      </w:r>
    </w:p>
    <w:p>
      <w:pPr>
        <w:spacing w:after="0" w:line="18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also need to adapt our advertising and marketing service offerings to the way users consume contents on our platforms. We introduced mobile-adapted promoted marketing solutions, such as promoted feeds, in 2013 to small and medium-sized enterprises, or SMEs, and to key accounts in 2014, as users become to access our mobile products as a substitute for access through PC. Approximately 93% of our MAUs in December 2018 accessed Weibo through mobile devices at least once during the month, therefore we believe our ability to further grow our revenues would be dependent on the successful adoption of our mobile monetization. In addition to devices, users’ preferences on content format are also evolving. Online content in video format has become increasingly prevalent in recent years. If we are unable to adapt our products and services for the video environment and develop products and services to generate video advertising revenues, especially for the mobile environment, our results of operations and prospects may be materially and adversely affected.</w:t>
      </w:r>
    </w:p>
    <w:p>
      <w:pPr>
        <w:spacing w:after="0" w:line="192"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If we are unable to compete effectively for advertising and marketing spending, our business and operating results may be materially and adversely affected.</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intense competition for users and user engagement, we also face significant competition for advertising and marketing spending. A substantial majority of our revenues are currently generated through advertising and marketing services. We compete against online and mobile businesses that offer such services, including Tencent, Baidu, Youku Tudou, Bytedance, Sohu, NetEase and Phoenix News Media. We also compete with internet companies that offer online-to-offline (O2O), purchase solutions and other performance-based advertising and marketing services and digital media tailored to specific vertical industries including fast moving consumer goods, IT, automobile, e-commerce, entertainment and travel, such as Autohome, Bitauto, Meituan/Dianping, Ctrip and Focus Media. We also compete against traditional media outlets, such as television, radio and print, for advertising and marketing budgets.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order to grow our revenues and improve our operating results, we must increase our market share of advertising and marketing spending relative to our competitors, many of which are larger companies that offer more traditional and widely accepted advertising products. In addition, some of our larger competitors have substantially broader product or service offerings and leverage their relationships based on other products or services to gain additional share of advertising and marketing budgets.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believe that our ability to compete effectively for advertising and marketing spending depends upon many factors both within and beyond our control, including:</w:t>
      </w:r>
    </w:p>
    <w:p>
      <w:pPr>
        <w:spacing w:after="0" w:line="170"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composition and activeness of our user base relative to those of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breadth, innovation and effectiveness of our online and mobile-offerings;</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market acceptance of our advertising and marketing products and services, including breadth, quality and variety of our advertisement formats and features and those of our competitors;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advertisement targeting capabilities, and those of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volume, pricing and return on investment of our products and services relative to those of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reach, engagement and effectiveness of our advertising and marketing products and services relative to those of our competitors;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availability, accuracy and utility of analytics and measurement solutions offered by us or our partners relative to those of our competitors;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performance-based advertisements and real-time bidding system relative to those of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sales and marketing efforts, and those of our competitors;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and the strength of our brand relative to our competitors.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Significant acquisitions and consolidation by and among our actual and potential competitors may present heightened competitive challenges for our business. Acquisitions of our platform partners by our competitors could result in reduced content and functionality of our products and services. Consolidation may also enable our larger competitors to offer bundled or integrated products that feature alternatives to our platform. Reduced content and functionality of our products and services, or our competitors’ ability to offer bundled or integrated products that compete directly with us, may cause our user base and user engagement to decline and customers to reduce their spending with us. If we are not able to compete effectively for advertising and marketing spending, our business and operating results may be materially and adversely affected.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limited operating history in a new and unproven market, which makes it difficult to evaluate our future prospects.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market for social media is relatively new and may not develop as expected. People who are not our users, customers or platform partners may not understand the value of our products and services and new users, customers or platform partners may initially find our products and services confusing. There may be a perception that our products and services are only useful to users who post, or to influential users with large audiences. Convincing potential new users, customers and platform partners of the value of our products and services is critical to increasing the number of our users, customers and platform partners and to the success of our business. Although we have experienced continued user growth as shown by the increase of our MAU and DAU for the past few years, some of our peers may have experienced a decline in user base. If microblogging, social media, online media or social product, in general, declines in popularity among Chinese internet users, we may be unable to grow our user base or maintain or increase user engagement.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We have a limited operating history. We launched Weibo in August 2009 and began to generate revenues in 2012, which makes it difficult to effectively assess our future prospects or forecast our future results. You should consider our business and prospects in light of the risks and challenges we encounter or may encounter in this developing and rapidly evolving market. These risks and challenges include our ability to, among other things:</w:t>
      </w:r>
    </w:p>
    <w:p>
      <w:pPr>
        <w:spacing w:after="0" w:line="147"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number of users and the level of user engagement;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 reliable, scalable, secure, high-performance technology infrastructure that can efficiently handle increased usage;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convince customers of the benefits of our advertising and marketing services compared to alternative forms of advertising and marketing;</w:t>
      </w:r>
    </w:p>
    <w:p>
      <w:pPr>
        <w:spacing w:after="0" w:line="236" w:lineRule="exact"/>
        <w:rPr>
          <w:rFonts w:ascii="Arial" w:cs="Arial" w:eastAsia="Arial" w:hAnsi="Arial"/>
          <w:sz w:val="17"/>
          <w:szCs w:val="17"/>
          <w:color w:val="auto"/>
        </w:rPr>
      </w:pPr>
    </w:p>
    <w:p>
      <w:pPr>
        <w:ind w:left="980" w:right="62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refine our social interest graph, or SIG, recommendation engine to enable more relevant content recommendation and effective audience targeting;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demand for value-added services, such as VIP membership, live streaming, and game-related services;</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deploy new features, products and services for our users, customers and platform partners, including video functionalities and interest-based information feeds;</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compete with other companies, some of which have substantially greater resources and market power than us, that are currently in, or may in the future enter, our industry, or duplicate the features of our products and services;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process, store, protect and use personal data in compliance with governmental regulations, contractual obligations and other obligations related to privacy and security;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 ourselves against litigation, regulatory, intellectual property, privacy or other claims.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we fail to educate potential users, customers and platform partners about the value of our products and services, if the market for our platform does not develop as we expect or if we fail to address the needs of this market, our business will be harmed. Failure to adequately address these or other risks and challenges could harm our business and cause our operating results to suffer.</w:t>
      </w:r>
    </w:p>
    <w:p>
      <w:pPr>
        <w:spacing w:after="0" w:line="181"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Alibaba is our largest customer and an important strategic partner. If we fail to maintain our collaboration with Alibaba, our results of operations and growth prospect may be adversely and materially affected.</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From April 2013 to January 2016, we had a strategic collaboration with Alibaba and its affiliated entities to jointly explore social commerce and develop innovative marketing solutions to enable merchants on Alibaba’s e-commerce platforms to better connect and build relationships with our users. The strategic collaboration generated approximately $294 million in advertising and marketing revenues from 2013 to 2015 and accounted for approximately 30% of our revenues for this period. Although revenue contribution by Alibaba has declined as a percentage to our total revenue. —as a result of the rapid growth of our business scale as well as our strategy to diversify revenue sources after the strategic collaboration agreement expired in early 2016—Alibaba still remains as our largest customer, and more importantly we rely on them to enable us to offer e-commerce advertising solutions to merchants on Alibaba’s platforms. If we are unable to either maintain strong cooperation with Alibaba or find other customers that can bring in similar amount of revenues to offset the possible further decline of revenue from Alibaba or the revenue associated with Alibaba’s ecosystem, our results of operations and growth prospects may be adversely and materially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740"/>
        <w:spacing w:after="0" w:line="277" w:lineRule="auto"/>
        <w:rPr>
          <w:sz w:val="20"/>
          <w:szCs w:val="20"/>
          <w:color w:val="auto"/>
        </w:rPr>
      </w:pPr>
      <w:r>
        <w:rPr>
          <w:rFonts w:ascii="Arial" w:cs="Arial" w:eastAsia="Arial" w:hAnsi="Arial"/>
          <w:sz w:val="18"/>
          <w:szCs w:val="18"/>
          <w:b w:val="1"/>
          <w:bCs w:val="1"/>
          <w:i w:val="1"/>
          <w:iCs w:val="1"/>
          <w:color w:val="auto"/>
        </w:rPr>
        <w:t>Our future performance depends in part on support from our platform partners, particularly copyright content providers and multi-channel networks.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Although most of the content on our platform come from individual users, platform partners have become an increasingly important source of high-quality content. We believe user engagement with our products and services depends in part on the quality of applications and content generated by our platform partners, particularly copyright content providers and multi-channel networks, or MCNs. Copyright content providers have traditionally been an important source of premium content on our platform. Meanwhile, as content on our platform expands into various new formats, such as short videos, the role of MCNs as talent agencies for professional content creators is becoming increasingly important. We have built a large network of MCNs in different domains, such as video and e-commerce, and we rely on these platform partners to incubate and grow content creators so that they share more quality content on Weibo. If we are unable to enjoy continued collaboration with copyright content providers and expand our network of MCNs and incentivize them to share more content, our content offerings may not be as robust and competitive and our user base and user engagement may be adversely and materially affected.</w:t>
      </w:r>
    </w:p>
    <w:p>
      <w:pPr>
        <w:spacing w:after="0" w:line="166"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We also work closely with third-party developers to build Weibo-integrated applications to enhance Weibo’s functionalities. Such existing and prospective developers may not be successful in building, growing, or monetizing mobile and/or web applications that create, maintain and enhance user engagement. Additionally, developers may choose to build on other platforms rather to integrate with Weibo. We are continuously seeking to balance the distribution objectives of our developers with our desire to provide an optimal user experience, and we may not be successful in achieving a balance that continues to attract and retain such developers. If we are not successful in our efforts to continue to grow the number of developers that choose to build products that integrate with Weibo or if we are unable to continue to build and maintain good relationships with such developers, our user growth and user engagement and our financial results may be adversely and materially affected.</w:t>
      </w:r>
    </w:p>
    <w:p>
      <w:pPr>
        <w:spacing w:after="0" w:line="178"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b w:val="1"/>
          <w:bCs w:val="1"/>
          <w:i w:val="1"/>
          <w:iCs w:val="1"/>
          <w:color w:val="auto"/>
        </w:rPr>
        <w:t>Our new products, services and initiatives and changes to existing products, services and initiatives could fail to attract users and customers or generate revenues.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ability to increase the size and engagement of our user base, attract customers and generate revenues will depend in part on our ability to create and offer successful new products and services. We may introduce significant changes to our existing products and services or develop and introduce new products and services, including technologies with which we have little or no prior development or operating experience. If new or enhanced products or services fail to engage users, customers and platform partners, we may fail to attract or retain users or to generate sufficient revenues to justify our investments, and our business and operating results could be adversely affected. In addition, we may launch strategic initiatives that do not directly generate revenues but which we believe will enhance our attractiveness to users, customers and platform partners. We may not be successful in future efforts to generate revenues from our new products or services. If our strategic initiatives do not enhance our ability to monetize our existing products and services or enable us to develop new approaches to monetization, we may not be able to maintain or grow our revenues or recover any associated development costs and our operating results may be adversely affected.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operating results could be harmed.</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continue to experience rapid growth in our business and operations, which will continue to place significant demands on our management, operational and financial resources. However, we may encounter difficulties as we establish and expand our operations, product development, sales and marketing, and general and administrative capabilities. We face significant competition for talented employees from other high-growth companies, which include both publicly traded and privately held companies, and we may not be able to hire new employees quickly enough to meet our needs. To attract highly skilled personnel, we have had to offer, and believe we will need to continue to offer, competitive compensation packages. As we continue to grow, we are subject to the risks of over-hiring, over-compensating our employees and over-expanding our operating infrastructure, and to the challenges of integrating, developing and motivating a growing employee base. In addition, we may not be able to innovate or execute as quickly as a smaller and more efficient organization. If we fail to effectively manage our hiring needs and successfully integrate our new hires, our efficiency and ability to meet our forecasts and our employee morale, productivity and retention could suffer, and our business and operating results could be adversely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we strive to broaden our user base, increase user engagement, and develop new features and products, we often have to proactively devote significant resources to accommodate future growth and to meet market demand. If market condition changes or we misjudged future demand, however, we may incur high costs and expenses relative to our return, which could negatively affect our operating results. In addition, copyright content is costly and the competition for it is fierce. Mismanagement of copyright content purchase and usage, such as focus on content that turn out to be less popular or loss of valuable copyright content to competitors, may lead to a disproportional increase in expenses and adversely affect our business.</w:t>
      </w:r>
    </w:p>
    <w:p>
      <w:pPr>
        <w:spacing w:after="0" w:line="15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Continued growth could also strain our ability to maintain reliable service levels for our users and customers, develop and improve our operational, financial, legal and management controls, and enhance our reporting systems and procedures. Our expenses may grow faster than our revenues, and our expenses may be greater than we anticipate. Managing our growth will require significant expenditures and allocation of valuable management resources. If we fail to achieve the necessary level of efficiency in our organization as it grows, our business, operating results and financial condition could be harmed.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it difficult to predict.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quarterly operating results have fluctuated in the past and will fluctuate in the future. As a result, our past quarterly operating results are not necessarily indicators of future performance. Our operating results in any given quarter can be influenced by numerous factors, many of which we are unable to predict or are outside of our control, including:</w:t>
      </w:r>
    </w:p>
    <w:p>
      <w:pPr>
        <w:spacing w:after="0" w:line="181"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grow our user base and user engagement;</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spending by our advertising and marketing customers, including as a result of seasonality, major events and extraordinary news events, or other factors;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advertising and marketing customers;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planned or unplanned significant events, including events that may cause substantial stock-based compensation or other charges;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and introduction of new products or services or changes in features of existing products or services;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competitors or competitive products and services;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of our products and services;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or increase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or improve gross margins, operating margins and net margins;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our costs and expenses that we may incur to grow and expand our operations and to remain competitive;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 failure or outages, which could prevent us from displaying advertisements for any period of time;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U.S. GAAP and the related policies, guidance or interpretations;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2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legal or regulatory environment or proceedings, including with respect to security, privacy or enforcement by government regulators, including fines, orders or consent decrees;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Chinese or global business or macroeconomic conditions.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Given our limited operating history and the rapidly evolving market in which we compete, our historical operating results may not be useful to you in predicting our future operating results. Our short operating history and our rapid growth make it difficult for us to identify recurring seasonal trends in our business. The advertising industry in China experiences seasonality. Historically, advertising spending tends to be the lowest in the first quarter of each calendar year due to long holidays around the Lunar New Year, and we believe that this seasonality affects our quarterly results. In addition, economic concerns continue to create uncertainty and unpredictability and add risk to our future outlook. An economic downturn in China or globally could cause our advertising and marketing customers to reduce their advertising budgets, and result in other adverse effects that could harm our operating results. Other factors that may cause our operating results to fluctuate include popular sports events, such as the FIFA World Cup and the Olympic Games. For example, the Rio 2016 Olympics took place in the third quarter of 2016, impacted our revenues and operating results during the quarter of the event and perhaps in the adjacent quarters, though we are unable to isolate and quantify its impact. Due to our rapid growth and limited operating history, the seasonal trends that we have experienced in the past may not apply to, or be indicative of, our future operating results.</w:t>
      </w:r>
    </w:p>
    <w:p>
      <w:pPr>
        <w:spacing w:after="0" w:line="178"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Spam could diminish the user experience on our platform, which could damage our reputation and deter our current and potential users from using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“Spam” on Weibo refers to a range of abusive activities that are prohibited by our terms of service and is generally defined as unsolicited actions that negatively impact other users with the general goal of drawing user attention to a given account, site, product or idea. This includes posting large numbers of unsolicited mentions of a user, duplicate feeds, misleading links (e.g., to malware or click-jacking pages) or other false or misleading content, and aggressively following and un-following accounts, adding users to lists, sending unsolicited invitations, reposting feeds and favoring feeds to inappropriately attract attention. Our terms of service also prohibit the creation of serial or bulk accounts, both manually or using automation, for disruptive or abusive purposes, such as to post spam or to artificially inflate the popularity of users seeking to promote themselves on Weibo. Although we continue to invest resources in reducing spam on Weibo, we expect spammers will continue to seek ways to act inappropriately on our platform. In addition, we expect that increases in the number of users on our platform will result in increased efforts by spammers to misuse our platform. We continuously combat spam, including by suspending or terminating accounts we believe to be spammers and launching algorithmic changes focused on curbing abusive activities. Our actions to combat spam require the diversion of significant time and focus of our engineering team from improving our products and services. If we are unable to effectively manage and reduce spam on Weibo, our reputation for delivering relevant content could be damaged, user engagement could decline and our operational costs could increase.</w:t>
      </w:r>
    </w:p>
    <w:p>
      <w:pPr>
        <w:spacing w:after="0" w:line="180"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b w:val="1"/>
          <w:bCs w:val="1"/>
          <w:i w:val="1"/>
          <w:iCs w:val="1"/>
          <w:color w:val="auto"/>
        </w:rPr>
        <w:t>Privacy concerns relating to our products and services and the use of user information could damage our reputation, deter current and potential users and customers from using Weibo and negatively impact our business.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collect personal data from our users in order to better understand our users and their needs and to help our customers target specific demographic groups. Concerns about the collection, use, disclosure or security of personal information or other privacy-related matters, even if unfounded, could damage our reputation, cause us to lose users and customers and adversely affect our operating results. While we strive to comply with applicable data protection laws and regulations, as well as our own posted privacy policies and other obligations we may have with respect to privacy and data protection, the failure or perceived failure to comply may result, and in some cases has resulted, in inquiries and other proceedings or actions against us by government agencies or others, as well as negative publicity and damage to our reputation and brand, each of which could cause us to lose users and customers, which could have an adverse effect on our business.</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systems failure or compromise of our security that results in the unauthorized access to or release of our users’ or customers’ data could significantly limit the adoption of our products and services, as well as harm our reputation and brand and, therefore, our business. We strictly limit third-party developers’ access to user privacy and user data, and we expend significant resources on technology and product development to protect against leakage of user information and other security breaches. Nonetheless, given its great commercial value, our user data may still be misused by third-parties, which could expose us to legal and regulatory risks and seriously harm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The PRC regulatory and enforcement regime with regard to data security and data protection is evolving. On November 7, 2016, the Standing Committee of the National People’s Congress issued the Cyber Security Law, which came into effect on June 1, 2017. The Cyber Security Law sets high requirements for the operational security of facilities deemed to be part of the PRC’s “critical information infrastructure.” See “ Item 3.D. Key Information— Risk Factors—Risks Relating to Doing Business in China—Substantial uncertainties exist with respect to the interpretation and implementation of Cyber Security Law as well as any impact it may have on our business operations.” Furthermore, if privacy concerns or regulatory restrictions prevent us from selling demographically targeted advertising, we may become less attractive to our customers. For example, as part of our future advertisement delivery system, we may integrate user information such as advertisement response rate, name, address, age or email address with third-party databases to generate comprehensive demographic profiles for individual users. In Hong Kong, however, the Hong Kong Personal Data Ordinance provides that an internet company may not collect information about its users, analyze the information for a profile of the user’s interests and sell or transmit the profiles to third parties for direct marketing purposes without the user’s consent. In the European Union, or EU, the General Data Protection Regulation, or GDPR, which came into effect on May 25, 2018, present increased challenges and risks in relation to policies and procedures relating to data collection, storage, transfer, disclosure, protection and privacy, and will impose significant penalties for non-compliance, including for example, penalties calculated as a percentage of global revenue under the GDPR. Since the GDPR only came into effect recently, the potential risks associated with non-compliance therewith are uniquely difficult to predict. Other jurisdictions may have similar prohibitions. Although less than 2% of our revenues are generated in Hong Kong, EU and other jurisdictions with similar prohibitions, we hope to attract more users in these jurisdictions and if we are unable to construct demographic profiles of internet users because they refuse to give consent, we will be less attractive to customers and our business could suffer.</w:t>
      </w:r>
    </w:p>
    <w:p>
      <w:pPr>
        <w:spacing w:after="0" w:line="178"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New laws or regulations concerning data protection, or the interpretation and application of existing consumer and data protection laws or regulations, which is often uncertain and in flux, may be inconsistent with our practices. If so, in addition to the possibility of fines, this could result in an order requiring that we change our practices, which could have an adverse effect on our business and operating results. Complying with new laws and regulations could cause us to incur substantial costs or require us to change our business practices in a manner materially adverse to our business.</w:t>
      </w:r>
    </w:p>
    <w:p>
      <w:pPr>
        <w:spacing w:after="0" w:line="154" w:lineRule="exact"/>
        <w:rPr>
          <w:sz w:val="20"/>
          <w:szCs w:val="20"/>
          <w:color w:val="auto"/>
        </w:rPr>
      </w:pPr>
    </w:p>
    <w:p>
      <w:pPr>
        <w:ind w:left="340" w:right="24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if our products and services are subject to attacks that degrade or deny the ability of users to access our products and services, our products and services may be perceived as not being secure, users and customers may curtail or stop using our products and services and our business and operating results may be harmed.</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products and services involve the storage and transmission of users’ and customers’ information, and security breaches expose us to a risk of loss of this information, litigation and potential liability. We experience cyber-attacks of varying degrees on a regular basis, including hacking into our user accounts and redirecting our user traffic to other websites, and we have been able to rectify attacks without significant impact to our operations in the past. Functions that facilitate interactivity with other websites, such as Weibo Connect, which among other things allows users to log in to partner websites using their Weibo identities, could increase the scope of access of hackers to user accounts. Our security measures may also be breached due to employee error, malfeasance or otherwise. Additionally, outside parties may attempt to fraudulently induce employees, users or customers to disclose sensitive information in order to gain access to our data or our users’ or customers’ data or accounts, or may otherwise obtain access to such data or accounts. Since our users and customers may use their Weibo accounts to establish and maintain online identities, unauthorized communications from Weibo accounts that have been compromised may damage their reputations and brands as well as ours. Any such breach or unauthorized access could result in significant legal and financial exposure, damage to our reputation and a loss of confidence in the security of our products and services that could have an adverse effect on our business and operating results.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an actual or perceived breach of our security occurs, the market perception of the effectiveness of our security measures could be harmed, we could lose users and customers and we may be exposed to significant legal and financial risks, including legal claims and regulatory fines and penalties. Any of these actions could have a material and adverse effect on our business, reputation and operating results.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to calculate certain key operating metrics, and real or perceived inaccuracies in such metrics may harm our reputation and negatively affect our business.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numbers of daily and monthly active users of Weibo are calculated using internal company data that has not been independently verified. While these numbers are based on what we believe to be reasonable calculations for the applicable periods of measurement, there are inherent challenges in measuring usage and user engagement across our large user base. For example, there are a number of false or spam accounts in existence on Weibo. Although we continuously combat spam by suspending or terminating these accounts, our active user number may include a number of false or spam accounts and therefore may not accurately represent the actual number of active accounts. We treat each account as a separate user for purposes of calculating our active users, because it may not always be possible to identify people and organizations that have set up more than one account. Additionally, some accounts used by organizations are used by many people within the organization. Accordingly, the calculations of our active users may not accurately reflect the actual number of people or organizations using Weibo.</w:t>
      </w:r>
    </w:p>
    <w:p>
      <w:pPr>
        <w:spacing w:after="0" w:line="1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regularly review and may adjust our processes for calculating our internal metrics to improve their accuracy. Our measures of user growth and user engagement may differ from estimates published by third parties or from similarly titled metrics used by our competitors due to differences in methodology. If customers, platform partners or investors do not perceive our user metrics to be accurate representations of our user base or user engagement, or if we discover material inaccuracies in our user metrics, our reputation may be harmed and customers and platform partners may be less willing to allocate their spending or resources to Weibo, which could negatively affect our business and operating results.</w:t>
      </w:r>
    </w:p>
    <w:p>
      <w:pPr>
        <w:spacing w:after="0" w:line="173"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b w:val="1"/>
          <w:bCs w:val="1"/>
          <w:i w:val="1"/>
          <w:iCs w:val="1"/>
          <w:color w:val="auto"/>
        </w:rPr>
        <w:t>Our business is highly sensitive to the strength of our brand and market influence, and we may not be able to maintain current or attract new users, customers and platform partners for our products and services if we do not continue to increase the strength of our brand and develop new brands successfully in the marketplace.</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operational and financial performance is highly dependent on the strength of our brand and market influence. Such dependency will increase further as the number of internet and mobile users as well as the number of market entrants in China grows. In order to retain existing and attract new internet users, customers and platform partners, we may need to substantially increase our expenditures to create and maintain brand awareness and brand loyalty.</w:t>
      </w:r>
    </w:p>
    <w:p>
      <w:pPr>
        <w:spacing w:after="0" w:line="1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addition, we receive a high degree of media coverage in Chinese communities around the world. Negative coverage in the media of our company, including about our product quality and reliability, changes to our products and services, privacy and security practices, litigation, regulatory activity, the actions of our users, or the experience of our users, platform partners and advertisers with our products and services, even if inaccurate, could threaten the perception of our brands. We cannot assure you that we will be able to defuse negative press coverage about our company to the satisfaction of our investors, users, customers and platform partners. If we are unable to defuse negative press coverage about our company, our brand may suffer in the marketplace, our operational and financial performance may be negatively impacted and the price of our ADSs may decline.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review our intangible assets for impairment when events or changes in circumstances indicate that the carrying value may not be recoverable, such as a decline in stock price and market capitalization. We test goodwill for impairment at least once a year.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goodwill or intangible assets is determined, which would negatively affect our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2018, we recorded a goodwill and intangibles impairment charge of $10.6 million for the goodwill arising from certain previous acquisitions, due to their unsatisfactory financial performance and not optimistic forecast of future revenues. As of December 31, 2018, the total amount of our goodwill and intangible assets was $50.4 million. A substantial portion of the goodwill and intangible assets arose from the acquisition of the live streaming business of www.yizhibo.com, or Yizhibo, a live streaming platform in China, in 2018 from Yixia Tech Co Ltd; therefore, we may have to reassess and even record impairment loss if live streaming industry prospects deteriorate.</w:t>
      </w:r>
    </w:p>
    <w:p>
      <w:pPr>
        <w:spacing w:after="0" w:line="188" w:lineRule="exact"/>
        <w:rPr>
          <w:sz w:val="20"/>
          <w:szCs w:val="20"/>
          <w:color w:val="auto"/>
        </w:rPr>
      </w:pPr>
    </w:p>
    <w:p>
      <w:pPr>
        <w:ind w:left="340" w:right="820"/>
        <w:spacing w:after="0" w:line="277" w:lineRule="auto"/>
        <w:rPr>
          <w:sz w:val="20"/>
          <w:szCs w:val="20"/>
          <w:color w:val="auto"/>
        </w:rPr>
      </w:pPr>
      <w:r>
        <w:rPr>
          <w:rFonts w:ascii="Arial" w:cs="Arial" w:eastAsia="Arial" w:hAnsi="Arial"/>
          <w:sz w:val="18"/>
          <w:szCs w:val="18"/>
          <w:b w:val="1"/>
          <w:bCs w:val="1"/>
          <w:i w:val="1"/>
          <w:iCs w:val="1"/>
          <w:color w:val="auto"/>
        </w:rPr>
        <w:t>The monetization of our services may require users to accept promoted marketing in their feeds or private messages, which may affect user experience and cause a decline in user traffic and a delay in our monetization.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Weibo users typically can log in to their personal accounts to view feeds and private messages from accounts that they have selected to follow. Social platform has been subject to negative comments, and even lawsuits, for introducing promoted advertising into their users’ information feeds. We started to test promoted products on Weibo at the end of 2012 and have also received user complaints. If we are unable to address user complaints adequately, user experience may be negatively affected, the monetization of our products and services may be delayed and our user base or user engagement may decline, which may adversely impact our operations.</w:t>
      </w:r>
    </w:p>
    <w:p>
      <w:pPr>
        <w:spacing w:after="0" w:line="188"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b w:val="1"/>
          <w:bCs w:val="1"/>
          <w:i w:val="1"/>
          <w:iCs w:val="1"/>
          <w:color w:val="auto"/>
        </w:rPr>
        <w:t>New technologies could block our advertisements. Users of PC and mobile devices may enable technical measures that could hinder our traffic growth and limit our monetization opportunities.</w:t>
      </w:r>
    </w:p>
    <w:p>
      <w:pPr>
        <w:spacing w:after="0" w:line="170"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Technologies have been developed that can disable the display of our advertisements and that provide tools to users to opt out of our advertising products. Most of our revenues are derived from fees paid to us by customers in connection with the display of advertisements to our users. In addition, our traffic growth is significantly dependent on content viewed via mobile devices, such as smartphones and tablets. Technologies and tools for personal computers and mobile devices, such as operating systems, internet browsers, anti-virus software and other applications, as well as mobile application stores could set up technical measures to divert user traffic, require a fee for the download of our products or block our products and services altogether, which could adversely affect our overall traffic and ability to monetize our products and services.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and growth could suffer if we are unable to hire and retain key personnel.</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depend on the continued contributions of our senior management and other key employees, many of whom are difficult to replace. The loss of the services of any of our executive officers or other key employees could harm our business. Competition for qualified talent in China is intense. Our future success is dependent on our ability to attract a significant number of qualified employees and retain existing key employees. If we are unable to do so, our business and growth may be materially and adversely affected and the trading price of our ADSs could suffer. Our need to significantly increase the number of our qualified employees and retain key employees may cause us to materially increase compensation-related costs, including stock-based compensation.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incurred and expect to continue to incur substantial stock-based compensation expenses.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have adopted share incentive plans in August 2010 and March 2014. See “Item 6.B. Directors, Senior Management and Employees— Compensation—Share Incentive Plans” for a detailed discussion. For the years ended December 31, 2016, 2017 and 2018, we recorded $36.9 million, $48.0 million and $41.0 million, respectively, in stock-based compensation expenses. We will continue to grant stock-based compensation in the future in order to attract and retain key personnel and employees. Consequently, our stock-based compensation expenses may be recurring and even significantly increase in absolute amount, which may have a material adverse effect on our results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Future investments in and acquisitions of complementary assets, technologies and businesses may fail and may result in equity or earnings dilution.</w:t>
      </w: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have in the past and may continue to invest in or acquire assets, technologies and businesses that are complementary to our existing business. For example, in October 2018, we acquired a live streaming business of Yizhibo, a live streaming platform in China. Our investments or acquisitions may not yield the results we expect. In addition, investments and acquisitions could result in the use of substantial amounts of cash, potentially dilutive issuances of equity securities, significant amortization expenses related to intangible assets and exposure to potential unknown liabilities of the acquired business. Moreover, the cost of identifying and consummating investments and acquisitions, and integrating the acquired businesses into ours, may be significant, and the integration of acquired businesses may be disruptive to our existing business operations. In addition, we may have to obtain approval from the relevant PRC governmental authorities for the investments and acquisitions and comply with any applicable PRC rules and regulations, which may be costly. In the event that our investments and acquisitions are not successful, our financial condition and results of operations may be materially and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financial results could be adversely affected by our long-term investments.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periodically review our investments in publicly traded companies, privately held companies, and limited partnerships for impairment. If we conclude that any of these investments is impaired, we will write down the asset to its fair value and take a corresponding charge to our consolidated statements of comprehensive income. For the fiscal years ended December 31, 2016, 2017 and 2018, we recognized impairment charge of $36.4 million, $4.7 million and $23.6 million, respectively, on the carrying value of our investments. We may continue to incur impairment charges in the future, which could depress our profitability or subject us to incur a net loss.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December 31, 2018, our investments included $693.1 million in private companies, which may not have the resources nor level of controls in place like public companies to timely and accurately provide updates about their company to us. Furthermore, many of our investments are at an early, pre-revenue stage of development, and their impairment may be difficult to assess as market information on internet-related startups is not readily available. After our adoption of ASU 2016-01 “Classification and Measurement of Financial Instruments” starting January 1, 2018, we measure long-term investments other than equity method investments at fair value through earnings. Our investments other than equity method are subject to a wide variety of market related risks that could substantially reduce or increase the fair value of our holdings. For example, identification of observable price change in orderly transaction for those investments without readily determinable fair value may result in our recognition of gain or loss on such investments.</w:t>
      </w:r>
    </w:p>
    <w:p>
      <w:pPr>
        <w:spacing w:after="0" w:line="16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Determination of estimated fair value of these investments require complex and subjective judgments due to their limited financial and operating history, unique business risks and limited public information. Consequently, we may not receive information about our investments on a timely basis to properly account for them. We recognized a net gain of $40.1 million in 2018 as a result of fair value changes. We are unable to control these factors and an impairment charge recognized by us, especially untimely recorded, may adversely impact our financial results and share price.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cannot obtain sufficient cash when we need it, we may not be able to meet our payment obligations under our convertible notes.</w:t>
      </w:r>
    </w:p>
    <w:p>
      <w:pPr>
        <w:spacing w:after="0" w:line="23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October 2017, we issued $900 million principal amount of convertible senior notes due 2022, which we refer to as 2022 Notes in this annual report. The notes bear interest at a rate of 1.25% per year, payable semiannually in arrears on May 15 and November 15 of each year, beginning on May 15, 2018, and will mature on November 15, 2022. We may not have sufficient funds to pay the interest or fulfill other obligations under the notes.</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derive most of our revenues from, and hold most of our assets through, our subsidiaries. As a result, we may rely in part upon distributions and advances from our subsidiaries in order to help us meet our payment obligations under the notes and our other obligations. Our subsidiaries are distinct legal entities and do not have any obligation, legal or otherwise, to provide us with distributions or advances. We may face tax or other adverse consequences, or legal limitations, on our ability to obtain funds from these entities. In addition, our ability to obtain external financing in the future is subject to a variety of uncertainties, including:</w:t>
      </w:r>
    </w:p>
    <w:p>
      <w:pPr>
        <w:spacing w:after="0" w:line="188"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cash flows;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 for financing activities by internet companies;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political and other conditions in the PRC and elsewhere.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we are unable to obtain funding in a timely manner or on commercially acceptable terms, we may not be able to meet our payment obligations under our convertible notes. If we fail to pay interest on the notes, we will be in default under the indenture governing the notes, which in turn may constitute a default under existing and future agreements governing our indebtedness.</w:t>
      </w:r>
    </w:p>
    <w:p>
      <w:pPr>
        <w:spacing w:after="0" w:line="181" w:lineRule="exact"/>
        <w:rPr>
          <w:sz w:val="20"/>
          <w:szCs w:val="20"/>
          <w:color w:val="auto"/>
        </w:rPr>
      </w:pPr>
    </w:p>
    <w:p>
      <w:pPr>
        <w:ind w:left="340" w:right="60"/>
        <w:spacing w:after="0" w:line="342" w:lineRule="auto"/>
        <w:rPr>
          <w:sz w:val="20"/>
          <w:szCs w:val="20"/>
          <w:color w:val="auto"/>
        </w:rPr>
      </w:pPr>
      <w:r>
        <w:rPr>
          <w:rFonts w:ascii="Arial" w:cs="Arial" w:eastAsia="Arial" w:hAnsi="Arial"/>
          <w:sz w:val="16"/>
          <w:szCs w:val="16"/>
          <w:b w:val="1"/>
          <w:bCs w:val="1"/>
          <w:i w:val="1"/>
          <w:iCs w:val="1"/>
          <w:color w:val="auto"/>
        </w:rPr>
        <w:t>Many of our products and services contain open source software, and we license some of our software through open source projects, which may pose particular risks to our proprietary software, products, and services in a manner that could have a negative effect on our business.</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use open source software in our products and services and will use open source software in the future. In addition, from time to time, we contribute software source code to open source projects under open source licenses or release internal software projects under open source licenses, and anticipate doing so in the future. The terms of many open source licenses to which we are subject have not been interpreted by domestic or foreign courts, and there is a risk that open source software licenses could be construed in a manner that imposes unanticipated conditions or restrictions on our ability to provide or distribute our products or services.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Additionally, because any software source code we contribute to open 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have a negative effect on our business, financial condition and operating results.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cause us to be less competitive.</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be certain that the steps we have taken will prevent misappropriation of our intellectual property. From time to time, we may have to resort to litigation to enforce our intellectual property rights, which could result in substantial costs and diversion of our resources. For example, the Trademark Review and Adjudication Board, or TRAB, issued decisions in June and July, 2017 to cancel the two trademarks owned by Weibo Interactive due to the lack of the proof of use. We have appealed TRAB’s decisions through the Beijing Intellectual Property Court. On December 25, 2017, Beijing Intellectual Property Court made two first instance judgments, each lifting TRAB’s decision and instructing TRAB to issue new decisions on the application for review regarding the two trademarks. On May 8, 2018, TRAB issued that the trademarks are valid for all registered items including computer programs and computer game software.</w:t>
      </w:r>
    </w:p>
    <w:p>
      <w:pPr>
        <w:spacing w:after="0" w:line="178" w:lineRule="exact"/>
        <w:rPr>
          <w:sz w:val="20"/>
          <w:szCs w:val="20"/>
          <w:color w:val="auto"/>
        </w:rPr>
      </w:pPr>
    </w:p>
    <w:p>
      <w:pPr>
        <w:ind w:left="340" w:right="40"/>
        <w:spacing w:after="0" w:line="381" w:lineRule="auto"/>
        <w:rPr>
          <w:sz w:val="20"/>
          <w:szCs w:val="20"/>
          <w:color w:val="auto"/>
        </w:rPr>
      </w:pPr>
      <w:r>
        <w:rPr>
          <w:rFonts w:ascii="Arial" w:cs="Arial" w:eastAsia="Arial" w:hAnsi="Arial"/>
          <w:sz w:val="15"/>
          <w:szCs w:val="15"/>
          <w:b w:val="1"/>
          <w:bCs w:val="1"/>
          <w:i w:val="1"/>
          <w:iCs w:val="1"/>
          <w:color w:val="auto"/>
        </w:rPr>
        <w:t>We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w:t>
      </w:r>
    </w:p>
    <w:p>
      <w:pPr>
        <w:spacing w:after="0" w:line="10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Companies in the internet, technology and media industries are frequently involved in litigation based on allegations of infringement of intellectual property rights, unfair competition, invasion of privacy, defamation, and other violations of other parties’ rights. The validity, enforceability and scope of protection of intellectual property rights in internet-related industries, particularly in China, are uncertain and still evolving. As we face increasing competition and as litigation becomes more common in China in resolving commercial disputes, we face a higher risk of being the subject of intellectual property infringement claims.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allow users to upload written materials, images, pictures and other content on our platform and download, share, link to and otherwise access games and applications (some of which are developed by third parties) as well as audio, video and other content either on our platform or from other websites through our platform. We have procedures designed to reduce the likelihood that content might be used without proper licenses or third-party consents. However, these procedures may not be effective in preventing the unauthorized posting of copyrighted content.</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With respect to games and applications available on our platform, we have procedures designed to reduce the likelihood of infringement. However, such procedures might not be effective in preventing games and applications, particularly those developed by third parties, from infringing upon other parties’ rights. We may face liability for copyright or trademark infringement, defamation, unfair competition, libel, negligence, and other claims based on the nature and content of the materials that are delivered, shared or otherwise accessed through our platform.</w:t>
      </w:r>
    </w:p>
    <w:p>
      <w:pPr>
        <w:spacing w:after="0" w:line="17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Defending intellectual property litigation is costly and can impose a significant burden on our management and employees, and there can be no assurances that favorable final outcomes will be obtained in all cases. Such claims, even if they do not result in liability, may harm our reputation. Any resulting liability or expenses, or changes required to our platform to reduce the risk of future liability, may have a material adverse effect on our business, financial condition and prospects.</w:t>
      </w:r>
    </w:p>
    <w:p>
      <w:pPr>
        <w:spacing w:after="0" w:line="187"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b w:val="1"/>
          <w:bCs w:val="1"/>
          <w:i w:val="1"/>
          <w:iCs w:val="1"/>
          <w:color w:val="auto"/>
        </w:rPr>
        <w:t>User growth and engagement depend upon effective interoperation with operating systems, networks, devices, web browsers and standards that we do not control.</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make our products and services available across a variety of operating systems and through websites. We are dependent on the interoperability of our products and services with popular devices, desktop and mobile operating systems and web browsers that we do not control, such as Windows, Mac OS, Android, iOS, and others. Any changes in such systems, devices or web browsers that degrade the functionality of our products and services or give preferential treatment to competitive products or services could adversely affect usage of our products and services. Further, if the number of platforms for which we develop our products increases, it will result in an increase in our costs and expenses. In order to deliver high quality products and services, it is important that our products and services work well with a range of operating systems, networks, devices, web browsers and standards that we do not control. In addition, because a majority of our users access our products and services through mobile devices, we are particularly dependent on the interoperability of our products and services with mobile devices and operating systems. We may not be successful in developing relationships with key participants in the mobile industry or in developing products or services that operate effectively with these operating systems, networks, devices, web browsers and standards. In the event that it is difficult for our users to access and use our products and services, particularly on their mobile devices, our user growth and user engagement could be harmed, and our business and operating results could be adversely affected.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operations depend on the performance of the internet infrastructure and fixed telecommunications networks in China.</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Almost all access to the internet in China is maintained through state-owned telecommunication operators under the administrative control and regulatory supervision of the Ministry of Industry and Information Technology, or the MIIT.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Web traffic in China has experienced significant growth during the past few years. Effective bandwidth and server storage at internet data centers in large cities such as Beijing are scarce.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 If we are unable to increase our online content and service delivering capacity accordingly, we may not be able to continuously grow our traffic, and the adoption of our products and services may be hindered, which could adversely impact our business and our share price.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we have no control over the costs of the services provided by telecommunication service providers. If the prices we pay for telecommunications and internet services rise significantly, our results of operations may be materially and adversely affected. Furthermore, if internet access fees or other charges to internet users increase, particularly as content shifts toward video, some users may be prevented from accessing the internet and thus cause the growth of internet users to decelerate. Such deceleration may adversely affect our ability to continue to expand our user base and increase our attractiveness to online customers.</w:t>
      </w:r>
    </w:p>
    <w:p>
      <w:pPr>
        <w:spacing w:after="0" w:line="188"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b w:val="1"/>
          <w:bCs w:val="1"/>
          <w:i w:val="1"/>
          <w:iCs w:val="1"/>
          <w:color w:val="auto"/>
        </w:rPr>
        <w:t>Our business and operating results may be harmed by service disruptions, or by our failure to timely and effectively scale and adapt our existing technology and infrastructure.</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One of the reasons people come to Weibo is for real-time information. We have experienced, and may in the future experience, service disruptions, outages and other performance problems due to a variety of factors, including infrastructure changes, human or software errors, hardware failure, capacity constraints due to an overwhelming number of people accessing our products and services simultaneously, computer viruses and denial of service, fraud and security attacks. Any disruption or failure in our infrastructure could hinder our ability to handle existing or increased traffic on our platform or cause us to lose content stored on our platform, which could significantly harm our business and our ability to retain existing users and attract new users.</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the number of our users increases and our users generate more content, including photos and videos on our platform, we may be required to expand and adapt our technology and infrastructure to continue to reliably store and analyze this content. It may become increasingly difficult to maintain and improve the performance of our products and services, especially during peak usage times, as our products and services become more complex and our user traffic increases. In addition, because we lease our data center facilities, we cannot be assured that we will be able to expand our data center infrastructure to meet user demand in a timely manner, or on favorable economic terms. We rely on SINA, our controlling shareholder, and third-party vendors to provide infrastructure services. We cannot assure you that their infrastructure will operate without interruptions and that we can maintain a relationship with these parties on favorable economic terms. If our users are unable to access Weibo or we are not able to make information available rapidly on Weibo, or at all, users may become frustrated and seek other channels to obtain the information, and may not return to Weibo or use Weibo as often in the future, or at all. This would negatively impact our ability to attract users and customers and maintain the level of engagement of our users.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prioritize product innovation and user experience over short-term operating results, which may harm our revenues and operating results.</w:t>
      </w:r>
    </w:p>
    <w:p>
      <w:pPr>
        <w:spacing w:after="0" w:line="2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encourage employees to quickly develop and help us launch new and innovative features. We focus on improving the user experience for our products and services and on developing new and improved products and services for the customers on our platform. We prioritize innovation and the experience for users and customers on Weibo over short-term operating results. We frequently make product and service decisions that may reduce our short-term operating results if we believe that the decisions are consistent with our goals to improve the user experience and performance for customers, which we believe will improve our operating results over the long term. These decisions may not be consistent with the short-term expectations of investors and may not produce the long-term benefits that we expect, in which case our user growth and user engagement, our relationships with customers and our business and operating results could be adversely and materially harmed. In addition, our focus on the user experience may negatively impact our relationships with our existing or prospective customers. This could result in a loss of customers and platform partners, which could adversely and materially harm our revenues and operating results.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face lawsuits or incur liability as a result of content published, made available through, or linked to our social media platform.</w:t>
      </w:r>
    </w:p>
    <w:p>
      <w:pPr>
        <w:spacing w:after="0" w:line="23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a social media platform, we have faced and will continue to face liability relating to content that is published, made available through, or linked to our platform. In particular, the nature of our business exposes us to claims related to defamation, intellectual property rights, rights of publicity and privacy, illegal content, content regulation and personal injury torts. The law relating to the liability of providers of online products or services for activities of their users remains somewhat unsettled in China. In addition, the public nature of communications on our platform exposes us to risks arising from the creation of impersonation accounts intended to be attributed to our users or customers. We could incur significant costs investigating and defending these claims. If we incur costs or liability as a result of these events, our business, financial condition and operating results could be adversely affected.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be subject to litigation for user-generated content provided on our platform, which may be time-consuming and costly to defend.</w:t>
      </w:r>
    </w:p>
    <w:p>
      <w:pPr>
        <w:spacing w:after="0" w:line="24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platform is open to the public for posting user-generated content. Although we have required our users to post only legally compliant and inoffensive materials and have set up screening procedures, our screening procedures may fail to screen out all potentially offensive or non-compliant user-generated content. Even if properly screened, a third party may still find user-generated content postings on our platform offensive and take action against us in connection with the posting of such information. As with other companies who provide user-generated content on their websites, we have had to deal with such claims in the past and anticipate that such claims will increase as user-generated content becomes more popular in China. Any such claim, with or without merit, could be time-consuming and costly to defend, and may result in litigation and divert management’s attention and resources.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face certain risks related to financial products available on our Weibo wallet.</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Weibo wallet enables users to purchase different types of products and services, including financial services and products offered by our platform partners. The Chinese government has tightened regulation of online financing services since mid-2015. It has issued numerous laws and regulations governing online financial service. For example, on April 3, 2018, the Internet Financing Risks Special Rectification Work Leading Group under the State Council issued the Notice on Strengthening the Rectification and Inspection of Asset Management Operations via the Internet. This notice requires any entity that issues and sells fund and asset management products via the internet to obtain an asset management business license or asset management product sales license issued by the central financial management department. Operators without such license could be held to have raised funds illegally, and even subject to criminal charges in serious instances. Under this notice, current operators found in violation of applicable requirements must cease all sales of financial products and terminate or otherwise wind-down all outstanding transactions before the end of June 2018. This notice further requires that Internet platforms not act as proxies for any kind of trading or sale of financial products of operators not holding the required licensing and approvals. If any of the financial products available on our Weibo wallet are found in violation of the relevant regulations and laws, we may face warnings, fines, confiscation of illegal gains, license revocations and discontinue of the relevant business, our business, financial condition and operating results could be adversely affected.</w:t>
      </w:r>
    </w:p>
    <w:p>
      <w:pPr>
        <w:spacing w:after="0" w:line="173"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b w:val="1"/>
          <w:bCs w:val="1"/>
          <w:i w:val="1"/>
          <w:iCs w:val="1"/>
          <w:color w:val="auto"/>
        </w:rPr>
        <w:t>We are subject to changing laws and regulations regarding regulatory matters, corporate governance and public disclosure that have increased both our costs and the risk of non-compliance.</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subject to rules and regulations by various governing bodies, including, for example, the Securities and Exchange Commission,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limited business insurance coverage.</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insurance industry in China is still young and the business insurance products offered in China are limited. We have limited business liability or disruption insurance coverage for our operations. Any business disruption, litigation or natural disaster may cause us to incur substantial costs and divert our resources.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risks related to health epidemics and natural disasters.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business could be materially and adversely affected by natural disasters, health epidemics or other public safety concerns affecting the PRC. Natural disasters may give rise to server interruptions, breakdowns, system failures, technology platform failures or internet failures, which could cause the loss or corruption of data or malfunctions of software or hardware as well as adversely affect our ability to operate our platform. Our business could also be adversely affected if our employees are affected by health epidemics. In addition, our results of operations could be adversely affected to the extent that any health epidemic harms the Chinese economy in general. Our headquarters are located in Beijing, where most of our management and many employees currently reside. Consequently, if any natural disasters, health epidemics or other public safety concerns were to affect Beijing, our operation may experience material disruptions, which may materially and adversely affect our business, financial condition and results of operations.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440"/>
        <w:spacing w:after="0"/>
        <w:rPr>
          <w:sz w:val="20"/>
          <w:szCs w:val="20"/>
          <w:color w:val="auto"/>
        </w:rPr>
      </w:pPr>
      <w:r>
        <w:rPr>
          <w:rFonts w:ascii="Arial" w:cs="Arial" w:eastAsia="Arial" w:hAnsi="Arial"/>
          <w:sz w:val="16"/>
          <w:szCs w:val="16"/>
          <w:b w:val="1"/>
          <w:bCs w:val="1"/>
          <w:color w:val="auto"/>
        </w:rPr>
        <w:t>Risks Relating to Our Carve-out from SINA and Our Relationship with SINA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limited experience operating as a stand-alone public company.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were incorporated in 2010 in the Cayman Islands as a wholly owned subsidiary of SINA. We have limited experience conducting our operations as a stand-alone public company. Prior to our initial public offering in April 2014, SINA provided us with financial, administrative, sales and marketing, human resources and legal services and the services of a number of its executives and employees. After we became a stand-alone public company, SINA has continued to provide us with certain support services. To the extent SINA does not continue to provide us with such support, we will need to create our own support systems. We may encounter operational, administrative and strategic difficulties as we adjust to operating as a stand-alone public company. This may cause us to react more slowly than our competitors to industry changes and may divert our management’s attention from running our business or otherwise harm our operations.</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since we have become a public company, our management team has been required to develop the expertise necessary to comply with the numerous regulatory and other requirements applicable to public companies, including requirements relating to corporate governance, listing standards and securities and investor relations issues. As a stand-alone public company, our management has to evaluate our internal control system independent of SINA with new thresholds of materiality, and to implement necessary changes to our internal control system. We cannot guarantee that we are able to do so in a timely and effective manner.</w:t>
      </w:r>
    </w:p>
    <w:p>
      <w:pPr>
        <w:spacing w:after="0" w:line="188"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b w:val="1"/>
          <w:bCs w:val="1"/>
          <w:i w:val="1"/>
          <w:iCs w:val="1"/>
          <w:color w:val="auto"/>
        </w:rPr>
        <w:t>Our financial information included in this annual report may not be representative of our financial condition and results of operations if we had been operating as a stand-alone company for all periods presented.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the establishment of Weibo Corporation in 2010, the operations of our social media business were carried out by companies owned or controlled by SINA. For all periods presented, our consolidated financial statements include all assets, liabilities, revenues, expenses and cash flows that are directly attributable to our social media business whether held or incurred by SINA or by us. Only those assets and liabilities that are specifically identifiable to our business are included in our consolidated balance sheets. With respect to costs of operations of the social media business, an allocation of certain costs and expenses of SINA were also included. These allocations were made using a proportional cost allocation method by considering the proportion of revenues, infrastructure usage metrics, and labor usage metrics among other things attributable to us. We made numerous estimates, assumptions and allocations in our historical financial statements because SINA did not account for us, and we did not operate as a stand-alone company for any period prior to our initial public offering. See “Item 7.B. Major Shareholders and Related Party Transactions—Related Party Transactions—Our Relationship with SINA” for our arrangements with SINA and “Item 5. Operating and Financial Review and Prospects” and the notes to our consolidated financial statements included elsewhere in this annual report for our historical cost allocation. Although our management believes that the assumptions underlying our financial statements and the above allocations are reasonable, our financial statements may not necessarily reflect our results of operations, financial position and cash flows as if we had operated as a stand-alone public company during the periods presented. Therefore, you should not view our historical results as indicators of our future performance.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continue to receive the same level of support from SINA.</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SINA is a leading internet media company in China, and our social media business has benefited significantly from SINA’s strong market position in China and its expertise in both internet and media-related businesses. For example, our advertising and marketing revenues have benefited from SINA’s ability to attract large brand advertisers that are interested in advertising on the internet. Although we have entered into a series of agreements with SINA relating to our ongoing business partnership and service arrangements with SINA, we cannot assure you we will continue to receive the same level of support from SINA as we now operate as a stand-alone public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b w:val="1"/>
          <w:bCs w:val="1"/>
          <w:i w:val="1"/>
          <w:iCs w:val="1"/>
          <w:color w:val="auto"/>
        </w:rPr>
        <w:t>Our agreements with SINA may be less favorable to us than similar agreements negotiated between unaffiliated parties. In particular, our non-competition agreement with SINA limits the scope of business that we are allowed to conduct.</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entered into a series of agreements with SINA and the terms of such agreements may be less favorable to us than would be the case if they were negotiated with unaffiliated third parties. In particular, under the non-competition agreement we have entered into with SINA, we agree during the non-competition period (which will end on the later of (1) five years after the first date when SINA ceases to own in aggregate at least 20% of the voting power of our then outstanding securities and (2) the fifteenth anniversary of the completion of our initial public offering) not to compete with SINA in the business currently conducted by SINA, as described in its periodic filings with the SEC, other than the microblogging and social networking business currently operated by us and any business developed by us operating under either the domain names or the brands owned by us as of the date of the agreement. Such contractual limitations significantly affect our ability to diversify our revenue sources and may materially and adversely impact our business and prospects should the growth of social media in China slow down. In addition, pursuant to our master transaction agreement with SINA, we have agreed to indemnify SINA for liabilities arising from litigation and other contingencies related to our business and assumed these liabilities as part of our carve-out from SINA. The allocation of assets and liabilities between SINA and our company may not reflect the allocation that would have been reached by two unaffiliated parties. Moreover, so long as SINA continues to control us, we may not be able to bring a legal claim against SINA in the event of contractual breach, notwithstanding our contractual rights under the agreements described above and other inter-company agreements entered into from time to time.</w:t>
      </w:r>
    </w:p>
    <w:p>
      <w:pPr>
        <w:spacing w:after="0" w:line="169"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b w:val="1"/>
          <w:bCs w:val="1"/>
          <w:i w:val="1"/>
          <w:iCs w:val="1"/>
          <w:color w:val="auto"/>
        </w:rPr>
        <w:t>Our sales, marketing and brand promotion have benefited significantly from our association with SINA. Any negative development in SINA’s market position or brand recognition may materially and adversely affect our marketing efforts and the strength of our brand.</w:t>
      </w:r>
    </w:p>
    <w:p>
      <w:pPr>
        <w:spacing w:after="0" w:line="147"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As a controlled subsidiary of SINA, we have benefited significantly from our association with SINA in marketing our brand and our platform. For example, we have benefited by providing services to SINA’s clients. We also benefit from SINA’s strong brand recognition in China, which has provided us credibility and a broad marketing reach. If SINA loses its market position, the effectiveness of our marketing efforts through our association with SINA may be materially and adversely affected. In addition, any negative publicity associated with SINA will likely have an adverse impact on the effectiveness of our marketing as well as our reputation and our brand.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SINA will control the outcome of shareholder actions in our company.</w:t>
      </w:r>
    </w:p>
    <w:p>
      <w:pPr>
        <w:spacing w:after="0" w:line="22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SINA held 45.2% of our ordinary shares, representing 71.2% of our total voting power as of March 31, 2019. SINA has advised us that it does not anticipate disposing of its voting control in us in the near future. SINA’s voting power gives it the power to control actions that require shareholder approval under Cayman Islands law, our memorandum and articles of association and NASDAQ requirements, including the election and removal of a majority of our board of directors, approval of significant mergers and acquisitions and other business combinations, changes to our memorandum and articles of association, the number of shares available for issuance under share incentive plans, and the issuance of significant amounts of our ordinary shares in private placements.</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SINA’s voting control may cause transactions to occur that might not be beneficial to holders of ADSs and may prevent transactions that would be beneficial to you. For example, SINA’s voting control may prevent a transaction involving a change of control of us, including transactions in which you as a holder of our ADSs might otherwise receive a premium for your securities over the then-current market price. In addition, SINA is not prohibited from selling a controlling interest in us to a third party and may do so without the approval of the ADS holders and without providing for a purchase of the ADSs held by the ADS holders. If SINA is acquired or otherwise undergoes a change of control, any acquirer or successor will be entitled to exercise the voting control and contractual rights of SINA, and may do so in a manner that could vary significantly from that of SINA.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are a “controlled company” as defined under the NASDAQ Stock Market Rules because SINA holds more than 50% of our voting power. For so long as we remain a controlled company under that definition, we are permitted to elect to rely, and will rely, on certain exemptions from corporate governance rules, including:</w:t>
      </w:r>
    </w:p>
    <w:p>
      <w:pPr>
        <w:spacing w:after="0" w:line="181" w:lineRule="exact"/>
        <w:rPr>
          <w:sz w:val="20"/>
          <w:szCs w:val="20"/>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exemption from the rule that our director nominees must be selected or recommended solely by independent directors; and</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exemption from having a corporate governance and nominating committee that is composed entirely of independent directors with a written charter addressing the committee’s purpose and responsibilities.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a result, the ADS holders do not have the same protection afforded to shareholders of companies that are subject to these corporate governance requirements.</w:t>
      </w:r>
    </w:p>
    <w:p>
      <w:pPr>
        <w:spacing w:after="0" w:line="170"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We may have conflicts of interest with SINA and, because of SINA’s controlling ownership interest in our company, we may not be able to resolve such conflicts on favorable terms for us.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Conflicts of interest may arise between SINA and us in a number of areas relating to our past and ongoing relationships. Potential conflicts of interest that we have identified include the following:</w:t>
      </w:r>
    </w:p>
    <w:p>
      <w:pPr>
        <w:spacing w:after="0" w:line="170" w:lineRule="exact"/>
        <w:rPr>
          <w:sz w:val="20"/>
          <w:szCs w:val="20"/>
          <w:color w:val="auto"/>
        </w:rPr>
      </w:pPr>
    </w:p>
    <w:p>
      <w:pPr>
        <w:ind w:left="980" w:right="220" w:hanging="324"/>
        <w:spacing w:after="0" w:line="276" w:lineRule="auto"/>
        <w:tabs>
          <w:tab w:leader="none" w:pos="944"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Indemnification arrangements with SINA</w:t>
      </w:r>
      <w:r>
        <w:rPr>
          <w:rFonts w:ascii="Arial" w:cs="Arial" w:eastAsia="Arial" w:hAnsi="Arial"/>
          <w:sz w:val="17"/>
          <w:szCs w:val="17"/>
          <w:color w:val="auto"/>
        </w:rPr>
        <w:t>. We have agreed to indemnify SINA with respect to lawsuits and other matters relating to our social</w:t>
      </w:r>
      <w:r>
        <w:rPr>
          <w:rFonts w:ascii="Arial" w:cs="Arial" w:eastAsia="Arial" w:hAnsi="Arial"/>
          <w:sz w:val="17"/>
          <w:szCs w:val="17"/>
          <w:i w:val="1"/>
          <w:iCs w:val="1"/>
          <w:color w:val="auto"/>
        </w:rPr>
        <w:t xml:space="preserve"> </w:t>
      </w:r>
      <w:r>
        <w:rPr>
          <w:rFonts w:ascii="Arial" w:cs="Arial" w:eastAsia="Arial" w:hAnsi="Arial"/>
          <w:sz w:val="17"/>
          <w:szCs w:val="17"/>
          <w:color w:val="auto"/>
        </w:rPr>
        <w:t>media business, including operations of that business when it was a private company and a subsidiary of SINA. These indemnification arrangements could result in our having interests that are adverse to those of SINA, for example, with respect to settlement arrangements in litigation. In addition, under these arrangements, we have agreed to reimburse SINA for liabilities incurred (including legal defense costs) in connection with any litigation, while SINA will be the party prosecuting or defending the litigation.</w:t>
      </w:r>
    </w:p>
    <w:p>
      <w:pPr>
        <w:spacing w:after="0" w:line="172" w:lineRule="exact"/>
        <w:rPr>
          <w:rFonts w:ascii="Arial" w:cs="Arial" w:eastAsia="Arial" w:hAnsi="Arial"/>
          <w:sz w:val="17"/>
          <w:szCs w:val="17"/>
          <w:color w:val="auto"/>
        </w:rPr>
      </w:pPr>
    </w:p>
    <w:p>
      <w:pPr>
        <w:ind w:left="980" w:right="40" w:hanging="324"/>
        <w:spacing w:after="0" w:line="25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Non-competition arrangements with SINA</w:t>
      </w:r>
      <w:r>
        <w:rPr>
          <w:rFonts w:ascii="Arial" w:cs="Arial" w:eastAsia="Arial" w:hAnsi="Arial"/>
          <w:sz w:val="18"/>
          <w:szCs w:val="18"/>
          <w:color w:val="auto"/>
        </w:rPr>
        <w:t>. We and SINA have entered into a non-competition agreement under which we agree not to compete</w:t>
      </w:r>
      <w:r>
        <w:rPr>
          <w:rFonts w:ascii="Arial" w:cs="Arial" w:eastAsia="Arial" w:hAnsi="Arial"/>
          <w:sz w:val="18"/>
          <w:szCs w:val="18"/>
          <w:i w:val="1"/>
          <w:iCs w:val="1"/>
          <w:color w:val="auto"/>
        </w:rPr>
        <w:t xml:space="preserve"> </w:t>
      </w:r>
      <w:r>
        <w:rPr>
          <w:rFonts w:ascii="Arial" w:cs="Arial" w:eastAsia="Arial" w:hAnsi="Arial"/>
          <w:sz w:val="18"/>
          <w:szCs w:val="18"/>
          <w:color w:val="auto"/>
        </w:rPr>
        <w:t>with each other’s core business. SINA agrees not to compete with us in a business that is of the same nature as the microblogging and social networking business operated by us as of the date of the agreement. We agree not to compete with SINA in the business currently conducted by SINA, as described in its periodic filings with the SEC, other than the microblogging and social networking business operated by us as of the date of the agreement.</w:t>
      </w:r>
    </w:p>
    <w:p>
      <w:pPr>
        <w:spacing w:after="0" w:line="188"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Employee recruiting and retention</w:t>
      </w:r>
      <w:r>
        <w:rPr>
          <w:rFonts w:ascii="Arial" w:cs="Arial" w:eastAsia="Arial" w:hAnsi="Arial"/>
          <w:sz w:val="18"/>
          <w:szCs w:val="18"/>
          <w:color w:val="auto"/>
        </w:rPr>
        <w:t>. Because both SINA and we are engaged internet-related businesses in China, we may compete with SINA in</w:t>
      </w:r>
      <w:r>
        <w:rPr>
          <w:rFonts w:ascii="Arial" w:cs="Arial" w:eastAsia="Arial" w:hAnsi="Arial"/>
          <w:sz w:val="18"/>
          <w:szCs w:val="18"/>
          <w:i w:val="1"/>
          <w:iCs w:val="1"/>
          <w:color w:val="auto"/>
        </w:rPr>
        <w:t xml:space="preserve"> </w:t>
      </w:r>
      <w:r>
        <w:rPr>
          <w:rFonts w:ascii="Arial" w:cs="Arial" w:eastAsia="Arial" w:hAnsi="Arial"/>
          <w:sz w:val="18"/>
          <w:szCs w:val="18"/>
          <w:color w:val="auto"/>
        </w:rPr>
        <w:t>the hiring of new employees, in particular with respect to media and advertising-related matters. We have a non-solicitation arrangement with SINA that restricts us and SINA from hiring any of each other’s employees.</w:t>
      </w:r>
    </w:p>
    <w:p>
      <w:pPr>
        <w:spacing w:after="0" w:line="181" w:lineRule="exact"/>
        <w:rPr>
          <w:rFonts w:ascii="Arial" w:cs="Arial" w:eastAsia="Arial" w:hAnsi="Arial"/>
          <w:sz w:val="18"/>
          <w:szCs w:val="18"/>
          <w:color w:val="auto"/>
        </w:rPr>
      </w:pPr>
    </w:p>
    <w:p>
      <w:pPr>
        <w:ind w:left="980" w:right="180" w:hanging="324"/>
        <w:spacing w:after="0" w:line="259"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board members or executive officers may have conflicts of interest</w:t>
      </w:r>
      <w:r>
        <w:rPr>
          <w:rFonts w:ascii="Arial" w:cs="Arial" w:eastAsia="Arial" w:hAnsi="Arial"/>
          <w:sz w:val="18"/>
          <w:szCs w:val="18"/>
          <w:color w:val="auto"/>
        </w:rPr>
        <w:t>. Two directors of our company are also executive officers of SINA.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may continue to grant incentive share compensation to SINA’s employees and consultants from time to time. These relationships could create, or appear to create, conflicts of interest when these persons are faced with decisions with potentially different implications for SINA and us.</w:t>
      </w:r>
    </w:p>
    <w:p>
      <w:pPr>
        <w:spacing w:after="0" w:line="186"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Sale of shares in our company</w:t>
      </w:r>
      <w:r>
        <w:rPr>
          <w:rFonts w:ascii="Arial" w:cs="Arial" w:eastAsia="Arial" w:hAnsi="Arial"/>
          <w:sz w:val="18"/>
          <w:szCs w:val="18"/>
          <w:color w:val="auto"/>
        </w:rPr>
        <w:t>. SINA may decide to sell all or a portion of our shares that it holds to a third party, including to one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competitors, thereby giving that third party substantial influence over our business and our affairs. Such a sale could be contrary to the interests of our employees or our other shareholders.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00" w:hanging="324"/>
        <w:spacing w:after="0" w:line="342" w:lineRule="auto"/>
        <w:tabs>
          <w:tab w:leader="none" w:pos="944"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Allocation of business opportunities</w:t>
      </w:r>
      <w:r>
        <w:rPr>
          <w:rFonts w:ascii="Arial" w:cs="Arial" w:eastAsia="Arial" w:hAnsi="Arial"/>
          <w:sz w:val="16"/>
          <w:szCs w:val="16"/>
          <w:color w:val="auto"/>
        </w:rPr>
        <w:t>. Business opportunities may arise that both we and SINA find attractive, and which would complement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businesses. SINA may decide to take the opportunities itself, which would prevent us from taking advantage of those opportunities.</w:t>
      </w:r>
    </w:p>
    <w:p>
      <w:pPr>
        <w:spacing w:after="0" w:line="123" w:lineRule="exact"/>
        <w:rPr>
          <w:rFonts w:ascii="Arial" w:cs="Arial" w:eastAsia="Arial" w:hAnsi="Arial"/>
          <w:sz w:val="16"/>
          <w:szCs w:val="16"/>
          <w:color w:val="auto"/>
        </w:rPr>
      </w:pPr>
    </w:p>
    <w:p>
      <w:pPr>
        <w:ind w:left="980" w:right="100" w:hanging="324"/>
        <w:spacing w:after="0" w:line="264"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Developing business relationships with SINA’s competitors</w:t>
      </w:r>
      <w:r>
        <w:rPr>
          <w:rFonts w:ascii="Arial" w:cs="Arial" w:eastAsia="Arial" w:hAnsi="Arial"/>
          <w:sz w:val="18"/>
          <w:szCs w:val="18"/>
          <w:color w:val="auto"/>
        </w:rPr>
        <w:t>. So long as SINA remains as our controlling shareholder, we may be limited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do business with its competitors, such as other online media companies in China. This may limit our ability to market our services for the best interests of our company and our other shareholders.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Although our company has become a stand-alone public company, we expect to operate, for as long as SINA is our controlling shareholder, as an affiliate of SINA. SINA may from time to time make strategic decisions that it believes are in the best interests of its business as a whole, including our company. These decisions may be different from the decisions that we would have made on our own. SINA’s decisions with respect to us or our business may be resolved in ways that favor SINA and therefore SINA’s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Uncertainties exist with respect to the interpretation and implementation of the newly enacted PRC Foreign Investment Law and how it may impact the viability of our current corporate structure, corporate governance and business operations.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March 15, 2019, the National People’s Congress approved the Foreign Investment Law, which will come into effect on January 1, 2020 and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93" w:lineRule="exact"/>
        <w:rPr>
          <w:sz w:val="20"/>
          <w:szCs w:val="20"/>
          <w:color w:val="auto"/>
        </w:rPr>
      </w:pPr>
    </w:p>
    <w:p>
      <w:pPr>
        <w:ind w:left="340" w:right="380"/>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Current PRC laws and regulations impose certain restrictions or prohibitions on foreign ownership of companies that engage in internet and other related businesses, including the provision of internet content and online game operations. Specifically, foreign ownership of an internet content provider may not exceed 50%. We are a company registered in the Cayman Islands and Weibo Technology, our PRC subsidiary, is considered a foreign-invested enterprise. To comply with PRC laws and regulations, we conduct our business in China through Weimeng, and its subsidiaries based on a series of contractual arrangements by and among Weibo Technology, Weimeng and its shareholders. As a result of these contractual arrangements, we exert control over Weimeng and consolidate its operating results in our financial statements under U.S. GAAP. Weimeng holds the licenses, approvals and key assets that are essential for our business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the opinion of our PRC counsel, TransAsia Lawyers, our current ownership structure, the ownership structure of our PRC subsidiary and Weimeng, and the contractual arrangements among our PRC subsidiary, Weimeng and its shareholders are in compliance with existing PRC laws, rules and regulations. There are, however, substantial uncertainties regarding the interpretation and application of current or future PRC laws and regulations. Thus, we cannot assure you that the PRC government will not ultimately take a view contrary to the opinion of our PRC counsel. If we are found in violation of any PRC laws or regulations, the relevant governmental authorities would have broad discretion in dealing with such violation, including, without limitation, levying fines, restricting our right to collect revenues, confiscating our income or the income of Weimeng, revoking our business licenses or the business licenses of Weimeng, requiring us to restructure our ownership structure or operations, and requiring us or Weimeng to discontinue any portion or all of our business. Any of these actions could cause significant disruption to our business operations and may materially and adversely affect our business, financial condition and results of operations.</w:t>
      </w:r>
    </w:p>
    <w:p>
      <w:pPr>
        <w:spacing w:after="0" w:line="197"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Weimeng and its shareholders for our operations in China, which may not be as effective in providing operational control as direct ownership.</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Due to the PRC restrictions or prohibitions on foreign ownership of internet and other related businesses in China, we operate our business in China through Weimeng, in which we have no ownership interest. We rely on a series of contractual arrangements with Weimeng and its respective shareholders to control and operate their business. These contractual arrangements are intended to provide us with effective control over Weimeng and allow us to obtain economic benefits from them. See “Item 4.C. Information on the Company—Organizational Structure—Contractual Arrangements with Weimeng and Its Shareholders” for more details about these contractual arrangements.</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Although we have been advised by our PRC counsel, TransAsia Lawyers, that these contractual arrangements are valid, binding and enforceable under existing PRC laws and regulations, these contractual arrangements may not be as effective in providing control over Weimeng as direct ownership. If Weimeng or its shareholders fail to perform their respective obligations under the contractual arrangements, we may incur substantial costs and expend substantial resources to enforce our rights. All of these contractual arrangements are governed by and interpreted in accordance with PRC law, and disputes arising from these contractual arrangements will be resolved through arbitration in China. However, the legal system in China, particularly as it relates to arbitration proceedings, is not as developed as in other jurisdictions, such as the United States. See “Item 3.D. Key Information—Risk Factors—Risks Relating to Doing Business in China—Uncertainties in the interpretation and enforcement of PRC laws and regulations could limit the legal protections available to you and us.” There are very few precedents and little official guidance as to how contractual arrangements in the context of a variable interest entity should be interpreted or enforced under PRC law. There remain significant uncertainties regarding the ultimate outcome of arbitration should legal action become necessary. These uncertainties could limit our ability to enforce these contractual arrangements. In addition, arbitration awards are final and can only be enforced in PRC courts through arbitration award recognition proceedings, which could cause additional expenses and delays. In the event we are unable to enforce these contractual arrangements or we experience significant delays or other obstacles in enforcing these contractual arrangements, we may not be able to exert effective control over our affiliated entities and may lose control over the assets owned by Weimeng and its subsidiaries. As a result, we may be unable to consolidate Weimeng and its subsidiaries in our consolidated financial statements, our ability to conduct our business may be negatively affected, and our business operations could be severely disrupted, which could materially and adversely affect our results of operations and financial condition.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240"/>
        <w:spacing w:after="0" w:line="342" w:lineRule="auto"/>
        <w:rPr>
          <w:sz w:val="20"/>
          <w:szCs w:val="20"/>
          <w:color w:val="auto"/>
        </w:rPr>
      </w:pPr>
      <w:r>
        <w:rPr>
          <w:rFonts w:ascii="Arial" w:cs="Arial" w:eastAsia="Arial" w:hAnsi="Arial"/>
          <w:sz w:val="16"/>
          <w:szCs w:val="16"/>
          <w:b w:val="1"/>
          <w:bCs w:val="1"/>
          <w:i w:val="1"/>
          <w:iCs w:val="1"/>
          <w:color w:val="auto"/>
        </w:rPr>
        <w:t>Shareholders of Weimeng may have potential conflicts of interest with us, which may affect the performance of the contractual arrangements with Weimeng and its shareholders, which may in turn materially and adversely affect our business and financial condition.</w:t>
      </w:r>
    </w:p>
    <w:p>
      <w:pPr>
        <w:spacing w:after="0" w:line="124"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Weimeng’s shareholders are non-executive PRC employees of our company or SINA and only hold immaterial equity interest in our company. Although each of these shareholders has authorized Weibo Technology to exercise all of his voting powers in Weimeng, and we may replace any of these shareholders at any time pursuant to the share transfer agreements, we cannot assure you that these shareholders will act in the best interest of our company should any conflict arise. If they were to act in bad faith towards us, we may have to take legal actions to enforce their contractual obligations, which may be expensive, time-consuming and disruptive to our operations. As there remain significant uncertainties regarding the ultimate outcome of a legal action due to the limited number of precedents and lack of official guidance as to how contractual arrangements in the context of a variable interest entity should be interpreted or enforced under PRC law, we cannot assure you that conflicts will be resolved in our favor. If we are unable to resolve any such conflicts, or if we suffer significant delays or other obstacles as a result of such conflicts, our business and operations could be severely disrupted, which could materially and adversely affect our results of operations and financial condition.</w:t>
      </w:r>
    </w:p>
    <w:p>
      <w:pPr>
        <w:spacing w:after="0" w:line="182"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We may lose the ability to use and enjoy assets held by Weimeng that are important to the operation of our business if Weimeng declares bankruptcy or becomes subject to a dissolution or liquidation proceeding.</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Weimeng holds certain assets that are important to our business operations, including the Internet Content Provision License, the Online Culture Operating Permit, domain names and our investments. Under our contractual arrangements with Weimeng, the shareholders of Weimeng may not voluntarily liquidate Weimeng or approve Weimeng to sell, transfer, mortgage or dispose of its assets or legal or beneficial interests in the business in any manner without our prior consent. However, in the event that the shareholders breach this obligation and voluntarily liquidate Weimeng, or Weimeng declares bankruptcy, or all or part of its assets become subject to liens or rights of third-party creditors, we may be unable to continue some or all of our business operations, which could materially and adversely affect our business, financial condition and results of operations. Furthermore, if Weimeng or its subsidiaries undergoes a voluntary or involuntary liquidation proceeding, their shareholders or unrelated third-party creditors may claim rights to some or all of their assets, thereby hindering our ability to operate our business, which could materially and adversely affect our business, financial condition and results of operations.</w:t>
      </w:r>
    </w:p>
    <w:p>
      <w:pPr>
        <w:spacing w:after="0" w:line="166" w:lineRule="exact"/>
        <w:rPr>
          <w:sz w:val="20"/>
          <w:szCs w:val="20"/>
          <w:color w:val="auto"/>
        </w:rPr>
      </w:pPr>
    </w:p>
    <w:p>
      <w:pPr>
        <w:ind w:left="340" w:right="780"/>
        <w:spacing w:after="0" w:line="308" w:lineRule="auto"/>
        <w:rPr>
          <w:sz w:val="20"/>
          <w:szCs w:val="20"/>
          <w:color w:val="auto"/>
        </w:rPr>
      </w:pPr>
      <w:r>
        <w:rPr>
          <w:rFonts w:ascii="Arial" w:cs="Arial" w:eastAsia="Arial" w:hAnsi="Arial"/>
          <w:sz w:val="17"/>
          <w:szCs w:val="17"/>
          <w:b w:val="1"/>
          <w:bCs w:val="1"/>
          <w:i w:val="1"/>
          <w:iCs w:val="1"/>
          <w:color w:val="auto"/>
        </w:rPr>
        <w:t>Contractual arrangements we have entered into with Weimeng may be subject to scrutiny by the PRC tax authorities. A finding that we owe additional taxes could substantially reduce our consolidated net income and the value of your investment.</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Pursuant to applicable PRC laws and regulations, arrangements and transactions among related parties may be subject to audit or challenge by the PRC tax authorities. We may be subject to adverse tax consequences if the PRC tax authorities determine that the contractual arrangements among our PRC subsidiary, Weimeng and its shareholders are not on an arm’s length basis and therefore constitute favorable transfer pricing. As a result, the PRC tax authorities could require that Weimeng adjust its taxable income upward for PRC tax purposes. Such a pricing adjustment could adversely affect us by increasing Weimeng’s tax expenses without reducing the tax expenses of our PRC subsidiary, subjecting Weimeng to late payment fees and other penalties for under-payment of taxes, and resulting in our PRC subsidiary’s loss of its preferential tax treatment. Our results of operations may be adversely affected if Weimeng’s tax liabilities increase or if it is subject to late payment fees or other penalties.</w:t>
      </w:r>
    </w:p>
    <w:p>
      <w:pPr>
        <w:spacing w:after="0" w:line="178" w:lineRule="exact"/>
        <w:rPr>
          <w:sz w:val="20"/>
          <w:szCs w:val="20"/>
          <w:color w:val="auto"/>
        </w:rPr>
      </w:pPr>
    </w:p>
    <w:p>
      <w:pPr>
        <w:ind w:left="340" w:right="860"/>
        <w:spacing w:after="0" w:line="342" w:lineRule="auto"/>
        <w:rPr>
          <w:sz w:val="20"/>
          <w:szCs w:val="20"/>
          <w:color w:val="auto"/>
        </w:rPr>
      </w:pPr>
      <w:r>
        <w:rPr>
          <w:rFonts w:ascii="Arial" w:cs="Arial" w:eastAsia="Arial" w:hAnsi="Arial"/>
          <w:sz w:val="16"/>
          <w:szCs w:val="16"/>
          <w:b w:val="1"/>
          <w:bCs w:val="1"/>
          <w:i w:val="1"/>
          <w:iCs w:val="1"/>
          <w:color w:val="auto"/>
        </w:rPr>
        <w:t>If the chops of our PRC subsidiary, Weimeng and its subsidiaries are not kept safely, are stolen or are used by unauthorized persons or for unauthorized purposes, the corporate governance of these entities could be severely and adversely compromised.</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subsidiary, Weimeng and its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holders of such chops at Weimeng failed to employ them in accordance with the terms of the various VIE-related agreements or removed them from the premises, the operation of Weimeng could be significantly and adversely impacted.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229"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subject us to liability for information displayed on Weibo or Yizhibo.</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PRC government has adopted regulations governing internet access and the distribution of information over the internet. Under these regulations, internet content providers and internet publishers are prohibited from posting or displaying the internet content that, among other things, impairs the national dignity of China, is reactionary, obscene, superstitious, fraudulent or defamatory, or otherwise violates PRC laws and regulations. Failure to comply with these requirements may result in the revocation of licenses to provide internet content and other licenses and the closure of the concerned websites and levy of fines. The website operator may also be held liable for such censored information displayed on or linked to the website.</w:t>
      </w:r>
    </w:p>
    <w:p>
      <w:pPr>
        <w:spacing w:after="0" w:line="1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addition, the MIIT has published regulations that subject website operators to potential liability for content displayed on their websites and for the actions of users and others using their systems, including liability for violations of PRC laws prohibiting the dissemination of content deemed to be socially destabilizing. The Ministry of Public Security has the authority to order any local internet service provider to block any internet website at its sole discretion. From time to time, the Ministry of Public Security stops the dissemination over the internet of information which it believes to be socially destabilizing. The State Administration for the Protection of State Secrets is also authorized to block any website it deems to be leaking state secrets or failing to meet the relevant regulations relating to the protection of state secrets in the dissemination of online information. Cyberspace Administration of China, or the CAC, set up in May 2011 to supervise internet content management nationwide, has also promulgated regulations and taken a number of other measures to regulate and monitor online content.</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attempt to monitor the content posted by users on Weibo and Yizhibo, we are not able to effectively control or restrict content generated or placed on Weibo or Yizhibo by our users. In particular, with the growing popularity of multimedia content, such as photos, videos and live streaming, and long-form articles, content monitoring becomes much more complicated and challenging than text-based feeds. To the extent that PRC regulatory authorities find any content displayed on Weibo or Yizhibo objectionable, they may require us to limit, prevent, or eliminate the dissemination of such information on our platform. Failure to do so may subject us to liabilities and penalties and may even result in the temporary blockage or complete shutdown of our online operations. In this respect, we have been subject to several penalty decisions by the CAC due to information transmitted on our platform. In all cases, we have cooperated with the relevant government authorities to take corrective measures.</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the Judicial Interpretation on the Application of Law in Trial of Online Defamation and Other Online Crimes jointly promulgated by the Supreme People’s Court and Supreme People’s Procuratorate, which became effective on September 10, 2013, imposes up to a three-year prison sentence on internet users who fabricate or knowingly share defamatory false information online. The implementation of this newly promulgated judicial interpretation may have a significant and adverse effect on the traffic of our platform and discourage the creation of user generated content, which in turn may impact the results of our operations and ultimately the trading price of our ADSs. Although our active user base has increased over the past several years, regulation and censorship of information disseminated over the internet in China may adversely affect our user experience and reduce users’ engagement and activities on our platform as well as adversely affect our ability to attract new users to our platform. Any and all of these adverse impacts may ultimately materially and adversely affect our business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interpretation and implementation of Cyber Security Law as well as any impact it may have on our business operations.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July 1, 2015, the Standing Committee of the National People’s Congress issued the National Security Law, which came into effect on the same day. The National Security Law provides that the state shall safeguard the sovereignty, security and cybersecurity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spacing w:after="0" w:line="15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meets the requirements of a classified protection system for cybersecurity, including appointing dedicated cybersecurity personnel, taking technical measures to prevent computer viruses, network attacks and intrusions, taking technical measures to monitor and record network operation status and cybersecurity incidents, and taking data security measures such as data classification, backups and encryption. The Cybersecurity Law also imposes a relatively vague but broad obligation to provide technical support and assistance to the public and state security authorities in connection with criminal investigations or for reasons of national security. The Cybersecurity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 However, no official guidelines as to the scope of “critical information infrastructure” have been formally issued.</w:t>
      </w:r>
    </w:p>
    <w:p>
      <w:pPr>
        <w:spacing w:after="0" w:line="178" w:lineRule="exact"/>
        <w:rPr>
          <w:sz w:val="20"/>
          <w:szCs w:val="20"/>
          <w:color w:val="auto"/>
        </w:rPr>
      </w:pPr>
    </w:p>
    <w:p>
      <w:pPr>
        <w:ind w:right="500" w:firstLine="648"/>
        <w:spacing w:after="0" w:line="257" w:lineRule="auto"/>
        <w:rPr>
          <w:sz w:val="20"/>
          <w:szCs w:val="20"/>
          <w:color w:val="auto"/>
        </w:rPr>
      </w:pPr>
      <w:r>
        <w:rPr>
          <w:rFonts w:ascii="Arial" w:cs="Arial" w:eastAsia="Arial" w:hAnsi="Arial"/>
          <w:sz w:val="18"/>
          <w:szCs w:val="18"/>
          <w:color w:val="auto"/>
        </w:rPr>
        <w:t>We do not believe that we are an operator of “critical information infrastructure” as defined in the Cyber Security Law. However, there is no assurance that we may not be considered an operator of “critical information infrastructure” in the future as the definition is not precise, and there are substantial uncertainties as to the ultimate interpretation and implementation of the Cyber Security Law. If we are considered as an operator of “critical information infrastructure”, the Cyber Security Law could cause us to incur substantial costs or require us to change our business practices in a manner materially adverse to our business.</w:t>
      </w:r>
    </w:p>
    <w:p>
      <w:pPr>
        <w:spacing w:after="0" w:line="188"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We are required to, but have not been able to, verify the identities of all of our users who post on Weibo or Yizhibo, and our noncompliance exposes us to potentially severe penalty by the Chinese government.</w:t>
      </w:r>
    </w:p>
    <w:p>
      <w:pPr>
        <w:spacing w:after="0" w:line="17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The Rules on the Administration of Microblog Development, issued by the Beijing Municipal Government in 2011, stipulate that users who post publicly on microblogs are required to disclose their real identity to the microblogging service provider, though they may still use pen names on their accounts. Microblogging service providers are required to verify the identities of their users. In addition, microblogging service providers based in Beijing were required to verify the identities of all of their users by March 16, 2012, including existing users who post publicly on their websites. Furthermore, pursuant to the Cyber Security Law passed by the Standing Committee of the National People’s Congress, which came into effect on June 1, 2017, we will also be required to verify users’ real identities when they sign up. Further, both the Administrative Measures on Group Chat Service and the Administrative Measures on Internet User Public Account Information Service require verification of user’s real identity, both of which were issued on September 7, 2017 and became effective on October 8, 2017. The user identity verification requirements have deterred new users from completing their registrations on Weibo, and a significant portion of the registrations in which user identity information was provided were rejected because they do not match the Chinese government database. On August 1, 2018, the CAC and the other five PRC governmental authorities jointly issued the Circular on Tightening the Administration of Online Live-streaming Services, or the Online Live-streaming Services Circular, which specifies that online live-streaming service providers are required to implement real name verification system for users. Several additional regulations, including the Cyber Security Law, the Administrative Measures on Group Chat Service, and the Administrative Measures on Internet User Public Account Information Service, also requires verification of users’ identify when they sign up. The user identity verification requirements have deterred new users from completing their registrations on Weibo or Yizhibo, and a significant portion of registrations with user identity information provided were rejected because they do not match the Chinese government database.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made significant efforts to comply with the user verification requirements. However, for reasons including existing user behaviors, the nature of the microblogging product and online live-streaming and the lack of clarity on specific implementation procedures, we have not been able to verify the identities of all of the users who post content publicly on Weibo or Yizhibo. We are potentially liable for our noncompliance and may be subject to penalties including the deactivation of certain features on Weibo or Yizhibo, a written warning, suspension or termination of Weibo or Yizhibo operations, fines, revocation of licenses or business license, or other penalties imposed by the Chinese government. Any of the above actions may have a material and adverse impact on the trading price of our ADSs.</w:t>
      </w:r>
    </w:p>
    <w:p>
      <w:pPr>
        <w:spacing w:after="0" w:line="193" w:lineRule="exact"/>
        <w:rPr>
          <w:sz w:val="20"/>
          <w:szCs w:val="20"/>
          <w:color w:val="auto"/>
        </w:rPr>
      </w:pPr>
    </w:p>
    <w:p>
      <w:pPr>
        <w:ind w:left="340" w:right="620"/>
        <w:spacing w:after="0" w:line="277" w:lineRule="auto"/>
        <w:rPr>
          <w:sz w:val="20"/>
          <w:szCs w:val="20"/>
          <w:color w:val="auto"/>
        </w:rPr>
      </w:pPr>
      <w:r>
        <w:rPr>
          <w:rFonts w:ascii="Arial" w:cs="Arial" w:eastAsia="Arial" w:hAnsi="Arial"/>
          <w:sz w:val="18"/>
          <w:szCs w:val="18"/>
          <w:b w:val="1"/>
          <w:bCs w:val="1"/>
          <w:i w:val="1"/>
          <w:iCs w:val="1"/>
          <w:color w:val="auto"/>
        </w:rPr>
        <w:t>Regulatory investigations could cause us to incur additional expenses or change our business practices in a manner materially adverse to our business.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Internet content regulation in China is continuously evolving, which can at times result in sustained periods of enhanced enforcement of content censorship, cyber security reviews, user privacy compliance, and internet financial services oversight. In April 2018, relevant regulators have ordered the suspension or significant curtailment of four of China’s most popular news content apps as well as one of the most popular humor platforms, all in connection with content being shared or accessed by users.</w:t>
      </w:r>
    </w:p>
    <w:p>
      <w:pPr>
        <w:spacing w:after="0" w:line="187"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In a period of enhanced scrutiny of internet content, we may be become subject to regulatory investigations or audits in connection with products or services we provide or for information or content displayed on, retrieved from or linked to our platform, or distributed to our users. During such investigation, some or all of our products, services, features or functionalities could be terminated, and our Apps could be removed from relevant App stores. It is</w:t>
      </w:r>
    </w:p>
    <w:p>
      <w:pPr>
        <w:ind w:right="120"/>
        <w:spacing w:after="0" w:line="255" w:lineRule="auto"/>
        <w:rPr>
          <w:sz w:val="20"/>
          <w:szCs w:val="20"/>
          <w:color w:val="auto"/>
        </w:rPr>
      </w:pPr>
      <w:r>
        <w:rPr>
          <w:rFonts w:ascii="Arial" w:cs="Arial" w:eastAsia="Arial" w:hAnsi="Arial"/>
          <w:sz w:val="18"/>
          <w:szCs w:val="18"/>
          <w:color w:val="auto"/>
        </w:rPr>
        <w:t>also possible that a regulatory investigation could result in changes to our policies or practices, could result in reputational harm, prevent us from offering certain products, services, features or functionalities, cause us to incur substantial costs, or require us to change our business practices in a manner materially adverse to our business.</w:t>
      </w:r>
    </w:p>
    <w:p>
      <w:pPr>
        <w:spacing w:after="0" w:line="190"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We may have to register our encryption software with Chinese regulatory authorities. If they request that we change our encryption software, our business operations could be disrupted as we develop or license replacement software.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the Regulations for the Administration of Commercial Encryption promulgated in 1999, foreign and domestic companies operating in China are required to seek approval from the Office of the State for Cipher Code Administration, the Chinese encryption regulatory authority, for the commercial encryption products they use. Companies operating in China are allowed to use only commercial cipher code products approved by this authority and are prohibited to use self-developed or imported cipher code products without approval. In addition, all cipher code products shall be produced by those producers appointed and approved by this authority. Additional rules became effective in 2006 regulating many aspects of commercial cipher code products in detail, including development, production and sales.</w:t>
      </w:r>
    </w:p>
    <w:p>
      <w:pPr>
        <w:spacing w:after="0" w:line="193"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Because these regulations do not specify what constitutes a cipher code product, we are unsure as to whether or how they apply to us and the encryption software we utilize. We may be required to register or apply for permits for our current or future encryption software. If the PRC authorities request that we register our encryption software or change our current encryption software to an approved cipher code product produced by an appointed producer, it could disrupt our business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virtual currency may adversely affect our game operations revenues.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have provided Weibo Credit as an online virtual currency for users to purchase in-game virtual items or other types of fee-based services on our platform. The Notice on the Strengthening of Administration on Online Game Virtual Currency, jointly issued by the Ministry of Culture and the Ministry of Commerce in 2009, broadly defined virtual currency as a type of virtual exchange instrument issued by internet game operation enterprises, purchased directly or indirectly by the game users by exchanging legal currency at a certain exchange rate, saved outside the game programs, stored in servers provided by the internet game operation enterprises in electronic record format and represented by specific numeric units. Virtual currency is used to exchange internet game services provided by the issuing enterprise for a designated extent and time, and is represented by several forms, such as online prepaid game cards, prepaid amounts or internet game points, and does not include game props obtained from playing online games. In 2009, the Ministry of Culture further promulgated the Filing Guidelines on Online Game Virtual Currency Issuing Enterprises and Online Game Virtual Currency Trading Enterprises, which specifically defines “issuing enterprise” and “trading enterprise” and stipulates that a single enterprise may not operate both types of business. Although we believe we do not offer online game virtual currency trading services, we cannot assure you that the PRC regulatory authorities will not take a view contrary to ours, in which case we may be subject to fines or even required by the PRC regulators to change our practices related to Weibo Credit, which consequently will have an adverse effect on our game-related revenues.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of the PRC government could have a material and adverse effect on overall economic growth in China, which could materially and adversely affect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Substantially all of our operations are conducted in China and substantially all of our revenues are sourced from China. Accordingly, our results of operations, financial condition and prospects are influenced by economic, political and legal developments in China. Economic reforms begun in the late 1970s have resulted in significant economic growth. However, any economic reform policies or measures in China may from time to time be modified or revised. China’s economy differs from the economies of most developed countries in many respects, including the extent of the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in the past 30 years, growth has been uneven across different regions and between economic sectors, and that growth may not continue, as evidenced by the slowing of the growth rate of the Chinese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reduction in demand for our products and services and adversely affect our competitive position.</w:t>
      </w:r>
    </w:p>
    <w:p>
      <w:pPr>
        <w:spacing w:after="0" w:line="173" w:lineRule="exact"/>
        <w:rPr>
          <w:sz w:val="20"/>
          <w:szCs w:val="20"/>
          <w:color w:val="auto"/>
        </w:rPr>
      </w:pPr>
    </w:p>
    <w:p>
      <w:pPr>
        <w:ind w:left="340" w:right="660"/>
        <w:spacing w:after="0" w:line="277" w:lineRule="auto"/>
        <w:rPr>
          <w:sz w:val="20"/>
          <w:szCs w:val="20"/>
          <w:color w:val="auto"/>
        </w:rPr>
      </w:pPr>
      <w:r>
        <w:rPr>
          <w:rFonts w:ascii="Arial" w:cs="Arial" w:eastAsia="Arial" w:hAnsi="Arial"/>
          <w:sz w:val="18"/>
          <w:szCs w:val="18"/>
          <w:b w:val="1"/>
          <w:bCs w:val="1"/>
          <w:i w:val="1"/>
          <w:iCs w:val="1"/>
          <w:color w:val="auto"/>
        </w:rPr>
        <w:t>The slowdown of new smartphone shipment in China may lead to the slowdown of growth rate of our new users, which could materially and adversely affect our business.</w:t>
      </w:r>
    </w:p>
    <w:p>
      <w:pPr>
        <w:spacing w:after="0" w:line="17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annual growth rate of smartphone shipment in China decreased from 2017 to 2018. Weibo’s user growth rate is highly dependent on the growth of new users from Weibo app, and pre-installation of Weibo app on new smartphones is an important source of new Weibo users. A continuing slowdown of new smartphone shipment in China may adversely impact the growth rate of our new users. If this trend continues, our business and operating results may be materially and adversely affected.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Uncertainties in the interpretation and enforcement of PRC laws and regulations could limit the legal protections available to you and us.</w:t>
      </w:r>
    </w:p>
    <w:p>
      <w:pPr>
        <w:spacing w:after="0" w:line="24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may be cited for reference but have limited precedential value.</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and contractual terms, it may be difficult to evaluate the outcome of administrative and court proceedings and the level of legal protection available to you and us.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be adversely affected by the complexity, uncertainties and changes in PRC licensing and regulation of internet businesses.</w:t>
      </w:r>
    </w:p>
    <w:p>
      <w:pPr>
        <w:spacing w:after="0" w:line="23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PRC government extensively regulates the internet industry, including the licensing and permit requirements pertaining to companies in this industry. Internet-related laws and regulations in China are relatively new and evolving, and their interpretation and enforcement involve significant uncertainty. As a result, it may be difficult to determine what actions or omissions may be deemed to be violations of applicable laws and regulations in certain circumstances.</w:t>
      </w:r>
    </w:p>
    <w:p>
      <w:pPr>
        <w:spacing w:after="0" w:line="18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Weimeng holds an Internet Content Provision License and an Online Culture Operating Permit that are necessary for operating our current business in China. Weimeng also holds an inter-regional Value-Added Telecommunications Services Operating License for provision of value-added telecommunication services nationwide. However, we cannot assure you that we have obtained all the permits or licenses required for conducting our business in China or will be able to maintain our existing licenses or obtain any new licenses if required by any new laws or regulations. Weimeng is currently in the process of applying for an internet publishing permit. See “Item 4.B. Information on the Company—Business Overview—Regulation—Regulations on Online Game Operations and Cultural Products.” In addition, companies engaging in internet broadcasting activities, such as the Yizhibo live streaming business we acquired in October 2018, must first obtain an audio/video program transmission license. See “Item 4.B. Information on the Company—Business Overview—Regulation—Regulations on Broadcasting Audio/Video Programs through the Internet” for more details. Weimeng is not qualified to obtain the internet audio/video program transmission license under the current legal regime as it is not a wholly state-owned or state-controlled company and it was not operating prior to the issuance of the Rules for the Administration of Internet Audio and Video Program Services, commonly known as Circular 56. Weimeng plans to apply for an internet audio/video program transmission license when feasible to do so. In June 2017, the State Administration of Press, Publication, Radio, Film and Television of the People’s Republic of China issued a public notice stating that it had requested the local competent authorities to take measures to suspend several companies’ video and audio services due to their lacking of an internet audio/video program transmission license and posting of certain commentary programs with content in violation of government regulations on their sites, and Weibo is named as one of these companies. In</w:t>
      </w:r>
    </w:p>
    <w:p>
      <w:pPr>
        <w:spacing w:after="0" w:line="2"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August 2017, Beijing Integrated Law Enforcement on the Cultural Market issued two Decisions on Administrative Penalty to Weimeng, each of which imposed a warning and a fine of RMB30,000 ($4,363) on Weimeng on the grounds that, during the period from February 2016 to August 2017, Weimeng carried on internet audio/video program services without obtaining the internet audio/video program transmission license and provided online broadcasting services for relevant programs posted by certain registered users of Weibo. Currently, audio/video programs posted on Weibo are delivered through third-party video websites, and we have cooperated with the relevant government authorities to take corrective measures, including clearly indicating the third-party websites that are delivering audio/videos contents for Weibo users. However, there can be no assurance that there will not be any further enforcement action, the occurrence of which may result in further liabilities, penalties and operational disruption. Further, we may need to apply for an internet news publication license. See “Item 4.B. Information on the Company—Business Overview—Regulation—Regulations on Internet News Dissemination.” If we fail to obtain such licenses or any additional licenses required by new laws and regulations in a timely manner or at all, we could be subject to liabilities, penalties and operational disruption.</w:t>
      </w:r>
    </w:p>
    <w:p>
      <w:pPr>
        <w:spacing w:after="0" w:line="1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Foreign investment in online game operation is prohibited under PRC law. We currently provide our online game services through Weimeng and its subsidiaries. However, certain contracts relating to our online game services were entered into between our PRC subsidiary, Weimeng and the game developers, under which our PRC subsidiary, together with Weimeng, provides certain technical services through our website. Under these agreements, our PRC subsidiary, a foreign-invested enterprise, may be deemed to be providing value-added telecommunication services without the necessary licenses. If so, we may be subject to sanctions, including payment of delinquent taxes and fines, which may significantly disrupt our operations and materially and adversely affect our business, results of operations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Furthermore, the operation of online games in China is highly regulated by the PRC government. Once a new online game or a significant enhancement of an existing online game is launched, approval must be obtained from the General Administration of Press and Publication for online publication of the game and the game must be filed with the Ministry of Culture within 30 days after its launch. If the online games operated on our platform failed to obtain or maintain any of the required permits, approvals or registrations or to make any necessary filings on a timely basis, the operator of the relevant game may be subject to various penalties and the operation of the relevant game will be discontinued or limited, which could adversely affect our business.</w:t>
      </w:r>
    </w:p>
    <w:p>
      <w:pPr>
        <w:spacing w:after="0" w:line="193"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addition, due to the increasing popularity and use of the internet, online games and other online services, it is possible that additional laws and regulations may be adopted with respect to the internet, online games or other online services covering issues such as user privacy, pricing, content, copyrights and distribution. The adoption of additional laws or regulations may decrease the growth of the internet, online games or other online services, which could in turn decrease the demand for our products and services and increase our cost of doing business.</w:t>
      </w:r>
    </w:p>
    <w:p>
      <w:pPr>
        <w:spacing w:after="0" w:line="171"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PRC regulations of loans to PRC entities and direct investment in PRC entities by offshore holding companies may delay or prevent us from using offshore funds to make loans or additional capital contributions to our PRC subsidiary.</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may transfer funds to our PRC subsidiary or finance our PRC subsidiary by means of shareholder loans or capital contributions. Any loans from us to our PRC subsidiary, which is a foreign-invested enterprise, cannot exceed statutory limits based on the difference between the registered capital and the investment amount of such subsidiary, and shall be registered with the State Administration of Foreign Exchange, or SAFE, or its local counterparts. Any capital contributions we make to our PRC subsidiary shall be approved by the Ministry of Commerce or its local counterparts. We may not be able to obtain these government registrations or approvals on a timely basis, if at all. If we fail to receive such registrations or approvals, our ability to provide loans or capital contributions to our PRC subsidiary in a timely manner may be negatively affected, which could materially and adversely affect our liquidity and our ability to fund and expand our business.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30, 2015, SAFE issued the Circular on Reform of the Administrative Rules of the Payment and Settlement of Foreign Exchange Capital of Foreign-Invested Enterprises, or SAFE Circular 19, which became effective on June 1, 2015. SAFE Circular 19 adopts a concept of “discretionary conversion,” which is defined as the conversion of a foreign-invested enterprise’s foreign currency registered capital in accordance with the enterprise’s actual business needs. No review of the purpose of the funds is required at the time of conversion under SAFE Circular 19. However, use of any RMB funds converted from its registered capital shall be based on true transactions. In addition, equity investments using converted registered capital are no longer prohibited under SAFE Circular 19. Nevertheless, foreign-invested enterprise like our PRC subsidiary is still not allowed to extend intercompany loans to Weimeng.</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SAFE issued the Circular on Reforming and Regulating Policies on the Control over Foreign Exchange Settlement of Capital Accounts, or SAFE Circular 16, on June 9, 2016, which became effective on the same day. Pursuant to SAFE Circular 16, enterprises registered in the PRC may also convert their foreign debts from foreign currency to RMB on self-discretionary basis. SAFE Circular 16 provides an integrated standard for conversion of foreign exchange under capital account items (including but not limited to foreign currency capital and foreign debts) on self-discretionary basis which applies to all enterprises registered in the PRC. SAFE Circular 16 reiterates the principle that RMB converted from foreign currency-denominated capital of a company may not be directly or indirectly used for purposes beyond its business scope or prohibited by PRC laws or regulations, while such converted RMB shall not be provided as loans to its non-affiliated entities, or used for construction and purchase of non-self-used real estate (excluding real estate enterprises) or unless otherwise expressly provided in law, directly or indirectly used in securities investment or other financial management excluding the bank capital preservation products. As SAFE Circular 16 is newly issued and SAFE has not provided detailed guidelines with respect to its interpretation or implementation, it is uncertain how these rules will be interpreted and implemented.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520"/>
        <w:spacing w:after="0" w:line="381" w:lineRule="auto"/>
        <w:rPr>
          <w:sz w:val="20"/>
          <w:szCs w:val="20"/>
          <w:color w:val="auto"/>
        </w:rPr>
      </w:pPr>
      <w:r>
        <w:rPr>
          <w:rFonts w:ascii="Arial" w:cs="Arial" w:eastAsia="Arial" w:hAnsi="Arial"/>
          <w:sz w:val="15"/>
          <w:szCs w:val="15"/>
          <w:b w:val="1"/>
          <w:bCs w:val="1"/>
          <w:i w:val="1"/>
          <w:iCs w:val="1"/>
          <w:color w:val="auto"/>
        </w:rPr>
        <w:t>We may be subject to penalties, including restriction on our ability to inject capital into our PRC subsidiary and our PRC subsidiary’s ability to distribute profits to us, if our PRC resident shareholders beneficial owners fail to comply with relevant PRC foreign exchange rules.</w:t>
      </w:r>
    </w:p>
    <w:p>
      <w:pPr>
        <w:spacing w:after="0" w:line="1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SAFE Circular 37 is issued to replace the Notice on Relevant Issues Concerning Foreign Exchange Administration for PRC Residents Engaging in Financing and Roundtrip Investments via Overseas Special Purpose Vehicles, or SAFE Circular 75.</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requested all of our current shareholders and/or beneficial owners to disclose whether they or their shareholders or beneficial owners fall within the ambit of Circular 37 and have urged relevant shareholders and beneficial owners, upon learning they are PRC residents, to register with the local SAFE branch as required under Circular 37. However, 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2" w:lineRule="exact"/>
        <w:rPr>
          <w:sz w:val="20"/>
          <w:szCs w:val="20"/>
          <w:color w:val="auto"/>
        </w:rPr>
      </w:pPr>
    </w:p>
    <w:p>
      <w:pPr>
        <w:ind w:left="340" w:right="160"/>
        <w:spacing w:after="0" w:line="264" w:lineRule="auto"/>
        <w:rPr>
          <w:sz w:val="20"/>
          <w:szCs w:val="20"/>
          <w:color w:val="auto"/>
        </w:rPr>
      </w:pPr>
      <w:r>
        <w:rPr>
          <w:rFonts w:ascii="Arial" w:cs="Arial" w:eastAsia="Arial" w:hAnsi="Arial"/>
          <w:sz w:val="18"/>
          <w:szCs w:val="18"/>
          <w:b w:val="1"/>
          <w:bCs w:val="1"/>
          <w:i w:val="1"/>
          <w:iCs w:val="1"/>
          <w:color w:val="auto"/>
        </w:rPr>
        <w:t>We and/or our Hong Kong subsidiary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8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Enterprise Income Tax Law provides that an enterprise established outside China whose “de facto management body” is located in China is considered a “PRC resident enterprise” and will generally be subject to the uniform 25% enterprise income tax on its global income. Under the implementation rules of the Enterprise Income Tax Law, “de facto management body” is defined as the organizational body which effectively manages and controls the production and business operation, personnel, accounting, properties and other aspects of operations of an enterprise.”</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Pursuant to the Notice Regarding the Determination of Chinese-Controlled Offshore Incorporated Enterprises as PRC Tax Resident Enterprises on the Basis of De Facto Management Bodies, issued by the State Administration of Taxation in 2009, a foreign enterprise controlled by PRC enterprises or PRC enterprise groups is considered a PRC resident enterprise if all of the following conditions are met: (i) the senior management and core management departments in charge of daily operations are located mainly within the PRC; (ii) financial and human resources decisions are subject to determination or approval by persons or bodies in the PRC; (iii) major assets, accounting books, company seals and minutes and files of board and shareholders’ meetings are located or kept within the PRC; and (iv) at least half of the enterprise’s directors with voting rights or senior management reside within the PRC. Although the notice states that these standards only apply to offshore enterprises that are controlled by PRC enterprises or PRC enterprise groups, such standards may reflect the general view of the State Administration of Taxation in determining the tax residence of foreign enterprises.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believe that neither our company nor our Hong Kong subsidiary is a PRC resident enterprise because neither our company nor our Hong Kong subsidiary meets all of the conditions enumerated. For example, board and shareholders’ resolutions of our company and our Hong Kong subsidiary are adopted in Hong Kong and the minutes and related files are kept in Hong Kong. However, if the PRC tax authorities were to disagree with our position, our company and/or our Hong Kong subsidiary may be subject to PRC enterprise income tax reporting obligations and to a 25% enterprise income tax on our global taxable income, except for our income from dividends received from our PRC subsidiary, which may be exempt from PRC tax. If we and/or our Hong Kong subsidiary are treated as a PRC resident enterprise, the 25% enterprise income tax may adversely affect our ability to satisfy any of our cash needs.</w:t>
      </w:r>
    </w:p>
    <w:p>
      <w:pPr>
        <w:spacing w:after="0" w:line="16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addition, if we were to be classified as a PRC “resident enterprise” for PRC enterprise income tax purpose, dividends we pay to our non-PRC enterprise shareholders and gains derived by our non-PRC enterprise shareholders from the sale of our shares and ADSs may be become subject to a 10% PRC withholding tax. In addition, future guidance may extend the withholding tax to dividends we pay to our non-PRC individual shareholders and gains derived by such shareholders from transferring our shares and ADSs. In addition to the uncertainty in how the new “resident enterprise” classification could apply, it is also possible that the rules may change in the future, possibly with retroactive effect. If PRC income tax were imposed on gains realized through the transfer of our ADSs or ordinary shares or on dividends paid to our non-resident shareholders, the value of your investment in our ADSs or ordinary shares may be materially and adversely affected.</w:t>
      </w:r>
    </w:p>
    <w:p>
      <w:pPr>
        <w:spacing w:after="0" w:line="178"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b w:val="1"/>
          <w:bCs w:val="1"/>
          <w:i w:val="1"/>
          <w:iCs w:val="1"/>
          <w:color w:val="auto"/>
        </w:rPr>
        <w:t>Any limitation on the ability of our PRC subsidiary to make payments to us, or the tax implications of making payments to us, could have a material adverse effect on our ability to conduct our business or our financial condition.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a holding company, and we rely principally on dividends and other distributions from our PRC subsidiary for our cash needs, including the funds necessary to pay dividends to our shareholders or service any debt we may incur. Current PRC regulations permit our PRC subsidiary to pay dividends only out of its accumulated profits, if any, determined in accordance with PRC accounting standards and regulations. In addition, our PRC subsidiary is required to set aside at least 10% of its after tax profits each year, if any, to fund certain statutory reserve funds until the aggregate amount of such reserve funds reaches 50% of its registered capital. Apart from these reserves, our PRC subsidiary may allocate a discretionary portion of its after-tax profits to staff welfare and bonus funds at its discretion. These reserves and funds are not distributable as cash dividends. Furthermore, if our PRC subsidiary incurs debt, the debt instruments may restrict its ability to pay dividends or make other payments to us. We cannot assure you that our PRC subsidiary will generate sufficient earnings and cash flows in the near future to pay dividends or otherwise distribute sufficient funds to enable us to meet our obligations, pay interest and expenses or declare dividends.</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Distributions made by PRC companies to their offshore parents are generally subject to a 10% withholding tax under the Enterprise Income Tax Law. Pursuant to the Enterprise Income Tax Law and the Arrangement between the Mainland of China and the Hong Kong Special Administrative Region for the Avoidance of Double Taxation and the Prevention of Fiscal Evasion with respect to Taxes on Income, the withholding tax rate on dividends paid by our PRC subsidiary to our Hong Kong subsidiary would generally be reduced to 5%, provided that our Hong Kong subsidiary is the beneficial owner of the PRC sourced income. Our PRC subsidiary has not obtained approval for a withholding tax rate of 5% from the local tax authority and does not plan to obtain such approval in the near future as we have not achieved profitability. However, the Notice on How to Understand and Determine the Beneficial Owners in a Tax Agreement, also known as Circular 601, promulgated by the State Administration of Taxation in 2009, provides guidance for determining whether a resident of a contracting state is the “beneficial owner” of an item of income under China’s tax treaties and similar arrangements. According to Circular 601, a beneficial owner generally must be engaged in substantive business activities. An agent or conduit company will not be regarded as a beneficial owner and, therefore, will not qualify for treaty benefits. For this purpose, a conduit company is a company that is set up for the purpose of avoiding or reducing taxes or transferring or accumulating profits. Although our PRC subsidiary is wholly owned by our Hong Kong subsidiary, we will not be able to enjoy the 5% withholding tax rate with respect to any dividends or distributions made by our PRC subsidiary to its parent company in Hong Kong if our Hong Kong subsidiary is regarded as a “conduit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 addition, if Weibo HK were deemed to be a PRC resident enterprise, then dividends payable by Weibo HK to Weibo Corporation may become subject to 10% PRC dividend withholding tax. Under such circumstances, it is not clear whether dividends payable by Weibo Technology to Weibo Corporation would still be subject to PRC dividend withholding tax and whether such tax, if imposed, would be imposed at a rate of 5% or 10%.</w:t>
      </w:r>
    </w:p>
    <w:p>
      <w:pPr>
        <w:spacing w:after="0" w:line="147"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Restrictions on the remittance of RMB into and out of China and governmental control of currency conversion may limit our ability to pay dividends and other obligations, and affect the value of your investment.</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PRC government imposes controls on the convertibility of the RMB into foreign currencies and the remittance of currency out of China. We receive substantially all of our revenues in RMB and substantially all of our cash inflows and outflows are denominated in RMB. Under our current corporate structure, our revenues are primarily derived from dividend payments from our subsidiary in China after it receives payments from Weimeng under various service and other contractual arrangements. We may convert a portion of our revenues into other currencies to meet our foreign currency obligations, such as payments of dividends declared in respect of our ordinary shares, if any. Shortages in the availability of foreign currency may restrict the ability of our PRC subsidiary to remit sufficient foreign currency to pay dividends or other payments to us, or otherwise satisfy its foreign currency denominated obligations.</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79"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b w:val="1"/>
          <w:bCs w:val="1"/>
          <w:i w:val="1"/>
          <w:iCs w:val="1"/>
          <w:color w:val="auto"/>
        </w:rPr>
        <w:t>Discontinuation of preferential tax treatment or imposition of any additional taxes could adversely affect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Enterprise Income Tax Law and its implementing rules have adopted a uniform statutory enterprise income tax rate of 25% to all enterprises in China. The Enterprise Income Tax Law and its implementing rules also permit qualified “software enterprises” to enjoy a two-year income tax exemption starting from the first profit making year, followed by a reduced tax rate of 12.5% for the subsequent three years. Weibo Technology, our PRC subsidiary, was qualified as a “software enterprise” on December 19, 2011, the qualification of which was renewed on December 3, 2013. Accordingly, Weibo Technology is eligible for the relevant preferential tax treatment upon filing with the relevant tax authorities. Its qualification as a “software enterprise” is subject to annual evaluation and a three-year review by the relevant authorities in China. Weibo Technology, as a “software enterprise”, started to enjoy the relevant tax holiday from its first accumulative profitable year in 2015 and has been entitled to a reduced enterprise income tax rate of 12.5% since 2017. In late 2018, Weibo Technology was approved to be qualified as a “key software enterprise” for 2017 and was entitled to enjoy a further reduced preferential tax rate of 10% for 2017. Weibo Technology used the preferential tax treatment of its “key software enterprise” status of 2017 in 2018. The qualification as a “key software enterprise” is subject to annual evaluation and approval by the relevant authorities in China and we will only recognize the preferential tax treatment of “key software enterprise” status when approval from the relevant authorities is obtained. If Weibo Technology fails to maintain its “software enterprise” or “key software enterprise” qualification, its applicable corporate income tax rate would increase to 25%, which could have an adverse effect on our financial condition and results of operations.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Furthermore, certain enterprises may still benefit from a preferential tax rate of 15% under the Enterprise Income Tax Law and its implementing rules if they qualify as a “High and New Technology Enterprise” subject to certain general factors described in the Enterprise Income Tax Law and the related regulations. Weibo Technology is also qualified as a High and New Technology Enterprise and is entitled to a preferential tax rate from October 30, 2014 to October 29, 2017. Its qualification as a “High and New Technology Enterprise” is subject to annual evaluation and a three-year review by the relevant authorities in China. If Weibo Technology fails to maintain its “High and New Technology Enterprise” qualification, its applicable corporate income tax rate would increase to 25%, which could have an adverse effect on our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stock ownership plans or stock option plans may subject PRC plan participants or us to fines and other legal or administrative sanctions.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SAFE regulations, PRC residents who participate in an employee stock ownership plan or stock option plan in an overseas publicly listed company are required to register with SAFE or its local branch and complete certain other procedures. Participants of a stock incentive plan who are PRC residents must retain a qualified PRC agent, which could be a PRC subsidiary of such overseas publicly listed company, to conduct the SAFE registration and other procedures with respect to the stock incentive plan on behalf of these participants. Such participants must also retain an overseas entrusted institution to handle matters in connection with their exercise or sale of stock options. In addition, the PRC agent is required to amend the SAFE registration with respect to the stock incentive plan if there is any material change to the stock incentive plan, the PRC agent or the overseas entrusted institution or other material changes.</w:t>
      </w:r>
    </w:p>
    <w:p>
      <w:pPr>
        <w:spacing w:after="0" w:line="18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and our PRC resident employees who participate in our share incentive plans have been subject to these regulations since our company became publicly listed in the United States. If we or our PRC resident employees who participate in our share incentive plans fail to comply with these regulations in the future, we or our PRC resident employees who participate in our share incentive plans and their local employers may be subject to fines and legal sanctions. See “Item 4.B. Information on the Company—Business Overview—Regulation—Regulations on Employee Stock Options Plans.”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Fluctuation in the value of the RMB may have a material adverse effect on the value of your investment.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value of Renminbi against the U.S. dollar and other currencies is affected by changes in China’s political and economic conditions and by China’s foreign exchange policies, among other things. In July 2005, the PRC government changed its decades-old policy of pegging the value of Renminbi to the U.S. dollar, and Renminbi appreciated more than 20% against the U.S. dollar over the following three years. Between July 2008 and June 2010, this appreciation halted and the exchange rate between Renminbi and the U.S. dollar remained within a narrow band. Between June 2010 and September 2016, the RMB has fluctuated against the U.S. dollar, at times significantly and unpredictably. Since October 1, 2016, the RMB has joined the International Monetary Fund (IMF)’s basket of currencies that make up the Special Drawing Right (SDR), along with the U.S. dollar, the Euro, the Japanese yen and the British pound. In the second half of 2017, the RMB has appreciated significantly in the backdrop of a weak U.S. dollar, robust Chinese economy in 2017 and stringent foreign exchange regulation. In 2018, the RMB depreciated approximately by 5.8% against the U.S. dollar. With the development of the foreign exchange market and progress towards interest rate liberalization and Renminbi internationalization, the PRC government may in the future announce further changes to the exchange rate system and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8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revenues and costs are mostly denominated in RMB, and a significant portion of our financial assets are also denominated in RMB, whereas our reporting currency is the U.S. dollar. Any significant depreciation of the RMB may materially and adversely affect our revenues, earnings and financial position as reported in U.S. dollars. To the extent that we need to convert U.S. dollars we received from offerings or debt financing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PRC laws and regulations establish more complex procedures for some acquisitions of Chinese companies by foreign investors, which could make it more difficult for us to pursue growth through acquisitions in China.</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 number of PRC laws and regulations, including the Regulations on Mergers and Acquisitions of Domestic Enterprises by Foreign Investors adopted by six PRC regulatory agencies in 2006, or the M&amp;A Rules, the Anti-monopoly Law, and the Rules of Ministry of Commerce on Implementation of Security Review System of Mergers and Acquisitions of Domestic Enterprises by Foreign Investors promulgated by the Ministry of Commerce in</w:t>
      </w:r>
    </w:p>
    <w:p>
      <w:pPr>
        <w:ind w:right="40"/>
        <w:spacing w:after="0" w:line="292" w:lineRule="auto"/>
        <w:rPr>
          <w:sz w:val="20"/>
          <w:szCs w:val="20"/>
          <w:color w:val="auto"/>
        </w:rPr>
      </w:pPr>
      <w:r>
        <w:rPr>
          <w:rFonts w:ascii="Arial" w:cs="Arial" w:eastAsia="Arial" w:hAnsi="Arial"/>
          <w:sz w:val="16"/>
          <w:szCs w:val="16"/>
          <w:color w:val="auto"/>
        </w:rPr>
        <w:t>August 2011, or the Security Review Rules, have established procedures and requirements that are expected to make merger and acquisition activities in China by foreign investors more time consuming and complex. These include requirements in some instances that the Ministry of Commerce be notified in advance of any change of control transaction in which a foreign investor takes control of a PRC domestic enterprise, or that the approval from the Ministry of Commerce be obtained in circumstances where overseas companies established or controlled by PRC enterprises or residents acquire affiliated domestic companies. PRC laws and regulations also require certain merger and acquisition transactions to be subject to merger control review or security review.</w:t>
      </w:r>
    </w:p>
    <w:p>
      <w:pPr>
        <w:spacing w:after="0" w:line="16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Security Review Rules were formulated to implement the Notice of the General Office of the State Council on Establishing the Security Review System for Mergers and Acquisitions of Domestic Enterprises by Foreign Investors, also known as Circular 6, which was promulgated in 2011. Under these rules, a security review is required for mergers and acquisitions by foreign investors having “national defense and security” concerns and mergers and acquisitions by which foreign investors may acquire the “de facto control” of domestic enterprises have “national security” concerns. In addition, when deciding whether a specific merger or acquisition of a domestic enterprise by foreign investors is subject to the security review, the Ministry of Commerce will look into the substance and actual impact of the transaction. The Security Review Rules further prohibits foreign investors from bypassing the security review requirement by structuring transactions through proxies, trusts, indirect investments, leases, loans, control through contractual arrangements or offshore transactions.</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There is no requirement for foreign investors in those mergers and acquisitions transactions already completed prior to the promulgation of Circular 6 to submit such transactions to the Ministry of Commerce for security review. As we have already obtained the “de facto control” over our affiliated PRC entities prior to the effectiveness of these rules, we do not believe we are required to submit our existing contractual arrangements to the Ministry of Commerce for security review.</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However, as these rules are relatively new and there is a lack of clear statutory interpretation on the implementation of the same, there is no assurance that the Ministry of Commerce will not apply these national security review-related rules to the acquisition of equity interest in our PRC subsidiary. If we are found to be in violation of the Security Review Rules and other PRC laws and regulations with respect to the merger and acquisition activities in China, or fail to obtain any of the required approvals, the relevant regulatory authorities would have broad discretion in dealing with such violation, including levying fines, confiscating our income, revoking our PRC subsidiary’s business or operating licenses, requiring us to restructure or unwind the relevant ownership structure or operations. Any of these actions could cause significant disruption to our business operations and may materially and adversely affect our business, financial condition and results of operations. Further, if the business of any target company that we plan to acquire falls into the ambit of security review, we may not be able to successfully acquire such company either by equity or asset acquisition, capital contribution or through any contractual arrangement. We may grow our business in part by acquiring other companies operating in our industry. Complying with the requirements of the relevant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620"/>
        <w:spacing w:after="0" w:line="277" w:lineRule="auto"/>
        <w:rPr>
          <w:sz w:val="20"/>
          <w:szCs w:val="20"/>
          <w:color w:val="auto"/>
        </w:rPr>
      </w:pPr>
      <w:r>
        <w:rPr>
          <w:rFonts w:ascii="Arial" w:cs="Arial" w:eastAsia="Arial" w:hAnsi="Arial"/>
          <w:sz w:val="18"/>
          <w:szCs w:val="18"/>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State Administration of Taxation has issued several rules and notices to tighten the scrutiny over acquisition transactions in recent years, including the Notice on Certain Corporate Income Tax Matters Related to Indirect Transfer of Properties by Non-PRC Resident Enterprises issued in February 2015, or SAT Circular 7. Pursuant to these rules and notices, except for a few circumstances falling into the scope of the safe harbor provided by SAT Circular 7, such as open market trading of stocks in public companies listed overseas, if a non-PRC resident enterprise indirectly transfers PRC taxable properties (i.e. properties of an establishment or a place in the PRC, real estate properties in the PRC or equity investments in a PRC tax resident enterprise) by disposing of equity interest or other similar rights in an overseas holding company, without a reasonable commercial purpose and resulting in the avoidance of PRC enterprise income tax, such indirect transfer should be deemed as a direct transfer of PRC taxable properties and gains derived from such indirect transfer may be subject to the PRC withholding tax at a rate of up to 10%. SAT Circular 7 sets out several factors to be taken into consideration by tax authorities in determining whether an indirect transfer has a reasonable commercial purpose, such as whether the main value of equity interest in an overseas holding company is derived directly or indirectly from PRC taxable properties. An indirect transfer satisfying all the following criteria will be deemed to lack reasonable commercial purpose and be taxable under PRC law without considering other factors set out by SAT Circular 7: (i) 75% or more of the equity value of the intermediary enterprise being transferred is derived directly or indirectly from the PRC taxable properties; (ii) at any time during the one-year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income tax on the direct transfer of such assets. SAT Circular 7 also introduces an interest regime by providing that where a transferor fails to file and pay tax on time, and where a withholding agent fails to withhold the tax, interest will be charged on a daily basis. If the transferor has provided the required documents and information or has filed and paid the tax within 30 days from the date that the share transfer contract or agreement is signed, then interest shall be calculated based on the benchmark interest rate; otherwise, the benchmark interest rate plus 5% will apply. Both the foreign transferor and the transferee, and the PRC tax resident enterprise whose equity interests are being transferred may voluntarily report the transfer by submitting the documents required in SAT Circular 7.</w:t>
      </w:r>
    </w:p>
    <w:p>
      <w:pPr>
        <w:spacing w:after="0" w:line="18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SAT Circular 7 provides clarity in many important areas, such as reasonable commercial purpose, there are still uncertainties on the tax reporting and payment obligations with respect to future private equity financing transactions, share exchange or other transactions involving the transfer of shares in non-PRC resident companies. Our company and other non-resident enterprises in our group may be subject to filing obligations or being taxed if our company and other non-resident enterprises in our group are transferors in such transactions, and may be subject to withholding obligations if our company and other non-resident enterprises in our group are transferees in such transactions. For the transfer of shares in our company by investors who are non-PRC resident enterprises, our PRC subsidiaries may be requested to assist in the filing under the rules and notices. As a result, we may be required to expend valuable resources to comply with these rules and notices or to request the relevant transferors from whom we purchase taxable assets to comply, or to establish that our company and other non-resident enterprises in our group should not be taxed under these rules and notices, which may have a material adverse effect on our financial condition and results of operations.</w:t>
      </w:r>
    </w:p>
    <w:p>
      <w:pPr>
        <w:spacing w:after="0" w:line="182"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We cannot assure you that the PRC tax authorities will not, at their discretion, adjust any capital gains and impose tax return filing obligations on us or require us to provide assistance for the investigation of PRC tax authorities with respect thereto. In the future, we may conduct acquisitions or disposals of properties that may involve complex corporate structures. If the PRC tax authorities make adjustments to the taxable income of these transactions under SAT Circular 7, our income tax expenses associated with such potential transactions may be increased, which may have a material adverse effect on our financial condition and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lease office space for our operations in China. Any defects in lessors’ title to the leased properties may disrupt our use of our offices, which may in turn adversely affect our business operations. For example, certain buildings and the underlying land are not allowed to be used for industrial or commercial purposes without relevant authorities’ approval, and the lease of such buildings to companies like us may subject the lessor to pay premium fees to the PRC government. We cannot assure you that the lessor has obtained all or any of approvals from the relevant governmental authorities. In addition, some of our lessors have not provided us with documentation evidencing their title to the relevant leased properties. We cannot assure you that title to these properties we currently lease will not be challenged. In addition, we have not registered any of our lease agreements with relevant PRC governmental authorities as required by PRC law, and although failure to do so does not in itself invalidate the leases, we may not be able to defend these leases against bona fide third parties.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of the date of this annual report, we are not aware of any actions, claims or investigations being contemplated by government authorities with respect to the defects in our leased real properties or any challenges by third parties to our use of these properties. However, if third parties who purport to be property owners or beneficiaries of the mortgaged properties challenge our right to use the leased properties, we may not be able to protect our leasehold interest and may be ordered to vacate the affected premises, which could in turn materially and adversely affect our business and operating results.</w:t>
      </w:r>
    </w:p>
    <w:p>
      <w:pPr>
        <w:spacing w:after="0" w:line="154"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b w:val="1"/>
          <w:bCs w:val="1"/>
          <w:i w:val="1"/>
          <w:iCs w:val="1"/>
          <w:color w:val="auto"/>
        </w:rPr>
        <w:t>Our significant deposits in certain banks in China may be at risk if these banks go bankrupt or otherwise do not have the liquidity to pay us during our deposit period.</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December 31, 2018, we had approximately $1.7 billion in cash and cash equivalent, bank deposits and short term investments, such as time deposits, with large domestic banks in China. Our remaining cash, cash equivalents and short-term investments were held by financial institutions in the United States and Hong Kong. The terms of these deposits are, in general, up to twelve months. Historically, deposits in Chinese banks were viewed as secure due to the state policy on protecting depositors’ interests. However, the new Bankruptcy Law that came into effect in 2007 contains an article expressly stating that the State Council may promulgate implementation measures for the bankruptcy of Chinese banks based on the Bankruptcy Law, so the law contemplates the possibility that a Chinese bank may go bankrupt. In addition, foreign banks have been gradually permitted to operate in China since China’s accession to the World Trade Organization and have become strong competitors of Chinese banks in many respects, which may have increased the risk of bankruptcy or illiquidity for Chinese banks, including those in which we have deposits. In the event of bankruptcy or illiquidity of any one of the banks which holds our deposits, we are unlikely to claim our deposits back in full since we are unlikely to be classified as a secured creditor based on PRC laws.</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May 1, 2015, China’s new Deposit Insurance Regulation came into effect, pursuant to which banking financial institutions, such as commercial banks, established in China will be required to purchase deposit insurance for deposits in RMB and in foreign currency. Under this regulation, depositors will be fully indemnified for their deposits and interests in an aggregate amount up to a limit of RMB500,000. Deposits or interests over such limit will only be covered by the bank’s liquidation assets. Therefore, although this requirement to purchase deposit insurance may help, to a certain extent, prevent Chinese banks from going bankrupt, it would not be effective in providing effective protection for our accounts, as our aggregate deposits are much higher than the compensation limit.</w:t>
      </w:r>
    </w:p>
    <w:p>
      <w:pPr>
        <w:spacing w:after="0" w:line="193" w:lineRule="exact"/>
        <w:rPr>
          <w:sz w:val="20"/>
          <w:szCs w:val="20"/>
          <w:color w:val="auto"/>
        </w:rPr>
      </w:pPr>
    </w:p>
    <w:p>
      <w:pPr>
        <w:ind w:left="340" w:right="180"/>
        <w:spacing w:after="0" w:line="308" w:lineRule="auto"/>
        <w:rPr>
          <w:sz w:val="20"/>
          <w:szCs w:val="20"/>
          <w:color w:val="auto"/>
        </w:rPr>
      </w:pPr>
      <w:r>
        <w:rPr>
          <w:rFonts w:ascii="Arial" w:cs="Arial" w:eastAsia="Arial" w:hAnsi="Arial"/>
          <w:sz w:val="17"/>
          <w:szCs w:val="17"/>
          <w:b w:val="1"/>
          <w:bCs w:val="1"/>
          <w:i w:val="1"/>
          <w:iCs w:val="1"/>
          <w:color w:val="auto"/>
        </w:rPr>
        <w:t>Our auditor, like other independent registered public accounting firms operating in China, is not permitted to be subject to inspection by the Public Company Accounting Oversight Board, and consequently investors may be deprived of the benefits of such inspection.</w:t>
      </w:r>
    </w:p>
    <w:p>
      <w:pPr>
        <w:spacing w:after="0" w:line="14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auditor, the independent registered public accounting firm that issued the audit reports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applicable professional standards. Our auditor is located in, and organized under the laws of the PRC, which is a jurisdiction where the PCAOB has been unable to conduct inspections without the approval of the Chinese authorities. In May 2013, the PCAOB announced that it had entered into a Memorandum of Understanding on Enforcement Cooperation with the China Securities Regulatory Commission, or the CSRC and the PRC Ministry of Finance, which establishes a cooperative framework between the parties for the production and exchange of audit documents relevant to investigations undertaken by the PCAOB, the CSRC or the PRC Ministry of Finance in the United States and the PRC, respectively. The PCAOB continues to be in discussions with the CSRC, and the PRC Ministry of Finance to permit joint inspections in the PRC of audit firms that are registered with the PCAOB and audit Chinese companies that trade on U.S. exchanges. 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if any, the SEC and the PCAOB will take to address the problem.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This lack of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stock to lose confidence in our audit procedures and reported financial information and the quality of our financial statements.</w:t>
      </w:r>
    </w:p>
    <w:p>
      <w:pPr>
        <w:spacing w:after="0" w:line="193"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b w:val="1"/>
          <w:bCs w:val="1"/>
          <w:i w:val="1"/>
          <w:iCs w:val="1"/>
          <w:color w:val="auto"/>
        </w:rPr>
        <w:t>Proceedings instituted by the SEC against certain PRC-based accounting firms, including our independent registered public accounting firm, could result in financial statements being determined to not be in compliance with the requirements of the Securities Exchange Act of 1934, as amended, or the Exchange Act.</w:t>
      </w:r>
    </w:p>
    <w:p>
      <w:pPr>
        <w:spacing w:after="0" w:line="181"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January 22, 2014, the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SEC requirements could ultimately lead to the delisting of our ADSs from Nasdaq or the termination of the registration of our ADSs under the Exchange Act, or both, which would substantially reduce or effectively terminate the trading of our ADSs 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ADSs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trading price for our ADSs may fluctuate significantly.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trading prices of our ADSs have fluctuated since we first listed our ADSs. Since our ADSs became listed on the NASDAQ Global Select Market on April 17, 2014, the trading price of our ADSs has ranged from US$8.78 to US$142.12 per ADS, and the last reported trading price on April 26, 2019 was US$67.74 per ADS. The prices for our ADSs may continue to fluctuate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7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our ADSs may be highly volatile for factors specific to our own operations, including (but not limited to) the following:</w:t>
      </w:r>
    </w:p>
    <w:p>
      <w:pPr>
        <w:spacing w:after="0" w:line="170" w:lineRule="exact"/>
        <w:rPr>
          <w:sz w:val="20"/>
          <w:szCs w:val="20"/>
          <w:color w:val="auto"/>
        </w:rPr>
      </w:pPr>
    </w:p>
    <w:p>
      <w:pPr>
        <w:ind w:left="5620" w:right="2780" w:hanging="4964"/>
        <w:spacing w:after="0" w:line="528" w:lineRule="auto"/>
        <w:tabs>
          <w:tab w:leader="none" w:pos="9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revenues, earnings, cash flow and data related to our active user base or user engagement;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services and expansions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detrimental adverse publicity about us or SINA;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87"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b w:val="1"/>
          <w:bCs w:val="1"/>
          <w:i w:val="1"/>
          <w:iCs w:val="1"/>
          <w:color w:val="auto"/>
        </w:rPr>
        <w:t>The sale or availability for sale, or perceived sale or availability for sale, of substantial amounts of our ADSs could adversely affect their market price.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187"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ordinary shares are divided into Class A ordinary shares and Class B ordinary shares. Holders of Class A ordinary shares are entitled to one vote per share, while holders of Class B ordinary shares are entitled to three votes per share. All of the outstanding ordinary shares held by SINA as of the date of this annual report are Class B ordinary shares. All other ordinary shares that are outstanding as of the date of this annual report are Class A ordinary shares.</w:t>
      </w:r>
    </w:p>
    <w:p>
      <w:pPr>
        <w:ind w:right="100"/>
        <w:spacing w:after="0" w:line="269" w:lineRule="auto"/>
        <w:rPr>
          <w:sz w:val="20"/>
          <w:szCs w:val="20"/>
          <w:color w:val="auto"/>
        </w:rPr>
      </w:pPr>
      <w:r>
        <w:rPr>
          <w:rFonts w:ascii="Arial" w:cs="Arial" w:eastAsia="Arial" w:hAnsi="Arial"/>
          <w:sz w:val="17"/>
          <w:szCs w:val="17"/>
          <w:color w:val="auto"/>
        </w:rPr>
        <w:t>We intend to maintain the dual-class voting structure in the future. Each Class B ordinary share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(as defined in our memorandum and articles of association) of such holder, such Class B ordinary shares shall be automatically and immediately converted into the equal number of Class A ordinary shares. In addition, each Class B ordinary share shall automatically and immediately be converted into one Class A ordinary share if at any time SINA and its affiliates (as defined in our memorandum and articles of association) in the aggregate hold less than five percent (5%) of the issued Class B ordinary shares in our company, and no Class B ordinary shares shall be issued by our company thereafter.</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Due to the disparate voting powers attached to these two classes of ordinary shares, SINA owned approximately 45.2% of our total issued and outstanding ordinary shares and 71.2% of the voting power of our outstanding shares as of March 31, 2019. Therefore, SINA will have decisive influence over matters requiring shareholders’ approval, including election of directors and significant corporate transactions, such as a merger or sale of our company.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price appreciation of our ADSs for return on your investment.</w:t>
      </w:r>
    </w:p>
    <w:p>
      <w:pPr>
        <w:spacing w:after="0" w:line="26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board of directors has complete discretion as to whether to distribute dividends, subject to Cayman Islands law. In addition, our shareholders may by ordinary resolution declare dividends, but no dividend may exceed the amount recommended by our directors. Under Cayman Islands law, our company may pay dividends only out of either profit or share premium account, provided that in no circumstances may a dividend be paid if this would result in our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in the future or even maintain the price at which you purchased the ADSs. You may not realize a return on your investment in our ADSs and you may even lose your entire investment in our ADSs.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ADSs.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the Enterprise Income Tax Law and its implementation rules, subject to any applicable tax treaty or similar arrangement between the PRC and your jurisdiction of residence that provides for a different income tax arrangement, PRC withholding tax at the rate of 10% is normally applicable to dividends from PRC sources payable to investors that are non-PRC resident enterprises, which do not have an establishment or place of business in the PRC, or which have such establishment or place of business if the relevant income is not effectively connected with the establishment or place of business. Any gain realized on the transfer of ADSs or shares by such non-PRC resident enterprise investors is also subject to 10% PRC income tax if such gain is regarded as income derived from sources within the PRC, unless a tax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American depositary shares or shares are generally subject to 20% PRC income tax, in each case, subject to any reduction or exemption set forth in applicable tax treaties and similar arrangements and PRC laws. Although substantially all of our business operations are in China, it is unclear whether dividends we pay with respect to our ADSs, or the gain realized from the transfer of our ADSs, would be treated as income derived from sources within the PRC and as a result be subject to PRC income tax if we were considered a PRC resident enterprise, as described above. If PRC income tax were imposed on gains realized through the transfer of our ADSs or on dividends paid to our non-PRC resident investors, the value of your investment in our ADSs may be materially and adversely affected. Furthermore, our ADS holders whose jurisdictions of residence have tax treaties or similar arrangements with China may not qualify for benefits under such tax treaties or arrangements.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may be classified as a passive foreign investment company under U.S. federal income tax law, which could result in adverse consequences to U.S.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Holders of our ADSs or Class A ordinary shares.</w:t>
      </w:r>
    </w:p>
    <w:p>
      <w:pPr>
        <w:spacing w:after="0" w:line="21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Depending upon the value of our assets, which is determined based, in part, on the market value of our ADSs, and the nature of our assets and income over time, we could be classified as a passive foreign investment company (“PFIC”) for U.S. federal income tax purposes. We will be classified as a PFIC for any taxable year if either (i) 75% or more of our gross income for the taxable year is passive income or (ii) 50% or more of the value of our assets (determined on the basis of a quarterly average) is attributable to assets that produce or are held for the production of passive income. Based on our income and assets, and the value of our ADSs, we do not believe that we were a PFIC for our taxable year ended December 31, 2018 and do not expect to be a PFIC for our current taxable year or for the foreseeable future. While we do not anticipate becoming a PFIC for the current taxable year, fluctuations in the market price of our ADSs may cause us to become a PFIC for the current or any subsequent taxable year.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Although the law in this regard is not entirely clear, we treat Weimeng as being owned by us for U.S. federal income tax purposes because we control its management decisions and we are entitled to substantially all of its economic benefits, and, as a result, we consolidate its results of operations in our consolidated U.S. GAAP financial statements. If it were determined, however, that we are not the owner of Weimeng for U.S. federal income tax purposes, we would likely be treated as a PFIC for our current taxable year and any subsequent taxable year. Because of the uncertainties in the application of the relevant rules and because PFIC status is a factual determination made annually after the close of each taxable year on the basis of the composition of our income and the value of our active versus passive assets, there can be no assurance that we will not be a PFIC for the current or any future taxable year. The overall level of our passive assets will be affected by how, and how quickly, we spend our liquid assets and cash. Under circumstances where we determine not to expend significant amounts of cash for active purposes, our risk of becoming classified as a PFIC may substantially increase.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we are or become classified as a PFIC, a U.S. Holder (as defined in “Item 10.E. Additional Information—Taxation—United States Federal Income Tax Considerations—General”) may be subject to reporting requirements and may incur significantly increased U.S. federal income tax on gain recognized on the sale or other disposition of, and on the receipt of distributions on the ADSs or Class A ordinary shares to the extent such gain or distribution is treated as an “excess distribution” under the U.S. federal income tax rules. Further, if we were a PFIC for any year during which a U.S. Holder held our ADSs or Class A ordinary shares, we would generally continue to be treated as a PFIC for all succeeding years during which such holder held our ADSs or Class A ordinary shares. U.S. Holders should consult their tax advisors concerning the U.S. federal income tax considerations of acquiring, holding, and disposing of the ADSs or Class A ordinary shares if we are or become classified as a PFIC. For more information see “Item 10.E. Additional Information—Taxation— United States Federal Income Tax Considerations—Passive Foreign Investment Company Considerations” and “Item 10.E. Additional Information—Taxation —United States Federal Income Tax Considerations—Passive Foreign Investment Company Rules.”</w:t>
      </w:r>
    </w:p>
    <w:p>
      <w:pPr>
        <w:spacing w:after="0" w:line="182"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ordinary shares and ADSs.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spacing w:after="0" w:line="167"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memorandum and articles of association, the Companies Law of the Cayman Islands (2018 Revision) and the common law of the Cayman Islands. The rights of our shareholders to take action against our directors, actions by our minority shareholders and the fiduciary duties of our directors to our company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Cayman Islands courts are also unlikely:</w:t>
      </w:r>
    </w:p>
    <w:p>
      <w:pPr>
        <w:spacing w:after="0" w:line="225"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recognize or enforce against us judgments of courts of the United States based on certain civil liability provisions of U.S. securities laws; and</w:t>
      </w:r>
    </w:p>
    <w:p>
      <w:pPr>
        <w:spacing w:after="0" w:line="248" w:lineRule="exact"/>
        <w:rPr>
          <w:rFonts w:ascii="Arial" w:cs="Arial" w:eastAsia="Arial" w:hAnsi="Arial"/>
          <w:sz w:val="16"/>
          <w:szCs w:val="16"/>
          <w:color w:val="auto"/>
        </w:rPr>
      </w:pPr>
    </w:p>
    <w:p>
      <w:pPr>
        <w:ind w:left="980" w:right="280" w:hanging="324"/>
        <w:spacing w:after="0" w:line="277"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impose liabilities against us, in original actions brought in the Cayman Islands, based on certain civil liability provisions of U.S. securities laws that are penal in nature.</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those circumstances, although there is no statutory enforcement in the Cayman Islands of judgments obtained in the U.S., the courts of the Cayman Islands will recognise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a Cayman Islands exempted company and all of our assets are located outside of the United States. Substantially all of our current operations are conducted in China.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78" w:lineRule="exact"/>
        <w:rPr>
          <w:sz w:val="20"/>
          <w:szCs w:val="20"/>
          <w:color w:val="auto"/>
        </w:rPr>
      </w:pPr>
    </w:p>
    <w:p>
      <w:pPr>
        <w:ind w:left="340" w:right="68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211"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236" w:lineRule="exact"/>
        <w:rPr>
          <w:rFonts w:ascii="Arial" w:cs="Arial" w:eastAsia="Arial" w:hAnsi="Arial"/>
          <w:sz w:val="17"/>
          <w:szCs w:val="17"/>
          <w:color w:val="auto"/>
        </w:rPr>
      </w:pPr>
    </w:p>
    <w:p>
      <w:pPr>
        <w:ind w:left="980" w:right="24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we are permitted by NASDAQ Stock Market Rules to elect to rely, and have elected to rely, on certain exemptions from corporate governance requirements:</w:t>
      </w:r>
    </w:p>
    <w:p>
      <w:pPr>
        <w:spacing w:after="0" w:line="170"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 board of directors be comprised of a majority of independent directors under NASDAQ Rule 5605(b)(1);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an audit committee be comprised of at least three members under NASDAQ Rule 5605(c)(2)(A).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result, you may not be afforded the same protections or information, which would be made available to you, were you investing in a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domestic issuer.</w:t>
      </w:r>
    </w:p>
    <w:p>
      <w:pPr>
        <w:spacing w:after="0" w:line="211"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how the ordinary shares represented by your ADSs are voted.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holder of our ADSs, you will not have any right to attend general meetings of our shareholders or to cast any votes directly at such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meetings. You will only be able to exercise the voting rights which attach to the underlying Class A ordinary shares represented by your ADSs indirectly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voting instructions to the depositary in accordance with the provisions of the deposit agreement. Under the deposit agreement, you may vote only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voting instructions to the depositary, as the holder of the underlying Class A ordinary shares which are represented by your ADSs. Upon receipt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your voting instructions, the depositary will endeavor to vote the underlying ordinary shares in accordance with your instructions. You will not be able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directly exercise any right to vote with respect to the underlying Class A ordinary shares at any general meeting of our shareholders unless you withdraw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and become the registered holder of such shares prior to the record date for the general meeting. Under our second amended and restated memorandum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articles of association, the minimum notice period required to be given by our company to our registered shareholders for convening a general meeting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14 days. When a general meeting is convened, you may not receive sufficient advance notice to enable you to withdraw the Class A ordinary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underlying your ADSs and become the registered holder of such shares prior to the record date for the general meeting to allow you to attend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and to vote directly with respect to any specific matter or resolution which is to be considered and voted upon at the general meeting.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amended and restated memorandum and articles of association, for the purposes of determining those shareholders who are entitled to attend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vote at any general meeting, our directors may close our register of members and/or fix in advance a record date for such meeting, and such closure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 of members or the setting of such a record date may prevent you from withdrawing the shares underlying your ADSs and becoming the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of such shares prior to the record date, so that you would not be able to attend the general meeting or to vote directly. Where any matter is to be put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vote at a general meeting, the depositary will endeavor to notify you of the upcoming vote and will arrange to deliver our voting materials to you. We cannot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assure you that you will receive the voting materials in time to ensure that you can instruct the depositary to vote the shares underlying your ADSs.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the depositary and its agents are not responsible for failing to carry out voting instructions or for their manner of carrying out your voting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instructions. This means that you may not be able to exercise your right to direct the voting of the shares underlying your ADSs, and you may have no legal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remedy if the shares underlying your ADSs are not voted as you requested.</w:t>
      </w:r>
    </w:p>
    <w:p>
      <w:pPr>
        <w:spacing w:after="0" w:line="211"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b w:val="1"/>
          <w:bCs w:val="1"/>
          <w:i w:val="1"/>
          <w:iCs w:val="1"/>
          <w:color w:val="auto"/>
        </w:rPr>
        <w:t>The depositary for our ADSs will give us a discretionary proxy to vote the ordinary shares underlying your ADSs if you do not give instructions to the depositary as to how to vote at shareholders’ meetings, except in limited circumstances, which could adversely affect your interests.</w:t>
      </w:r>
    </w:p>
    <w:p>
      <w:pPr>
        <w:spacing w:after="0" w:line="124"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Under the deposit agreement for the ADSs, if you do not timely and properly give voting instructions to the depositary as to how to vote the shares underlying your ADSs at any particular shareholders’ meeting, the depositary will give us (or our nominee) a discretionary proxy to vote the ordinary shares underlying your ADSs at the shareholders’ meeting unless: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notice of meeting and related voting materials;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effect of this discretionary proxy is that if you do not timely and properly give voting instructions to the depositary as to how to vote the shares underlying your ADSs at any particular shareholders’ meeting, you cannot prevent the ordinary shares underlying your ADSs from being voted, except under the circumstances described above. This may make it more difficult for holders of ADSs to influence the management of our company. Holders of our ordinary shares are not subject to this discretionary proxy.</w:t>
      </w:r>
    </w:p>
    <w:p>
      <w:pPr>
        <w:spacing w:after="0" w:line="187"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depositary of our ADSs has agreed to pay to you the cash dividends or other distributions it or the custodian receives on ordinary shares or other deposited securities underlying 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of our convertible notes may dilute the ownership interest of existing shareholders.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issued $900 million principal amount of convertible senior notes due 2022 in October 2017. The conversion of some or all of the notes may dilute the ownership interests of existing shareholders. Any sales in the public market of the ADSs issuable upon such conversion could adversely affect prevailing market prices of our ADSs. In addition, the existence of the notes may encourage short selling by market participants because the conversion of the notes could depress the market price of our ADSs.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22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History and Development of the Company</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SINA, our parent, launched Weibo in August 2009, originally as a microblogging service. In 2010, SINA incorporated a subsidiary, T.CN Corporation, in the Cayman Islands to hold the assets associated with the Weibo business. In 2011, Weibo was upgraded with social networking features and improved open platform architecture to support internally developed and third-party developer applications on our platform. In 2012, T.CN Corporation was renamed Weibo Corporation. In April 2013, Alibaba Group invested $585.8 million through its wholly owned subsidiary, Ali WB, in our ordinary and preferred shares representing approximately 18% of Weibo Corporation’s then total outstanding shares on a fully diluted basis.</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April 2014, our company completed the initial public offering and has been listed on the NASDAQ Global Selected Market since then. Our company was incorporated under the laws of the Cayman Islands and is headquartered in Beijing, China. With offices throughout mainland China and Hong Kong, our principal place of operations is located at QIHAO Plaza, No. 8 Xinyuan S. Road, Chaoyang District, Beijing 100027, People’s Republic of China. Our telephone number is +86 10 5898-3336.</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Weibo Corporation holds 100% of the equity of Weibo Hong Kong Limited, or Weibo HK, which in turn holds 100% of the equity in Weibo Internet Technology (China) Co., Ltd., or Weibo Technology, our wholly owned subsidiary in China.</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holding company, and we conduct our business in China through Weibo Technology and Weimeng. See “Item 4.C. Information on the Company—Organizational Structure” and “Item 3.D. Key Information—Risk Factors—Risks Relating to Our Corporate Structure.” We rely principally on dividends and other distributions from Weibo Technology for our cash needs, including the funds necessary to pay dividends to our shareholders or service any debt we may incur. Weimeng holds an Internet Content Provision License and other permits that are necessary for operating our business in China. In 2010, we gained control and became the primary beneficiary of Weimeng through a series of contractual arrangements between Weibo Technology, Weimeng and Weimeng’s shareholders.</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December 2013, Weimeng acquired from SINA the entire equity interest in Beijing Weibo Interactive Internet Technology Co., Ltd., or Weibo Interactive, a PRC company engaged in the online game business, for a consideration of $10.1 million.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June 2015, we acquired from SINA the majority equity interest in Weibo Funds, which engage in the investment of start-up high-tech companies, for a consideration of $22.0 million.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October 2017, we issued $900 million principal amount of convertible senior notes due 2022. The notes will bear interest at a rate of 1.25% per year, payable semiannually in arrears on May 15 and November 15 of each year, beginning on May 15, 2018. Holders of the notes may convert their notes, at their option, in integral multiples of US$1,000 principal amount, at any time prior to the close of business on November 11, 2022. The notes will mature on November 15, 2022. The notes will be convertible into our ADSs, at the option of the holders, based on an initial conversion rate of 7.5038 ADSs per $1,000 principal amount of notes.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Overview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Weibo is a leading social media platform for people to create, distribute and discover content. It provides an unprecedented and simple way for people and organizations to publicly express themselves in real time, interact with others on a massive global platform and stay connected with the world.</w:t>
      </w:r>
    </w:p>
    <w:p>
      <w:pPr>
        <w:spacing w:after="0" w:line="12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Since our inception in 2009, Weibo has amassed a large user base. In December 2018, Weibo had 462 million MAUs and 200 million average DAUs, increasing from 392 million MAUs and 172 million average DAUs in December 2017, and 313 million MAUs and 139 million average DAUs in December 2016.</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Weibo combines the means of public self-expression in real time with a powerful platform for social interaction, content aggregation and content distribution. Any user can create and post a feed and attach multimedia and long-form content. User relationships on Weibo may be asymmetric; any user can follow any other user and add comments to a feed while reposting. The simple, asymmetric and distributed nature of Weibo allows an original feed to become a live viral conversation stream.</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Weibo serves a wide range of users including ordinary people, celebrities and other public figures, as well as media outlets, businesses, government agencies, charities and other organizations, making it a microcosm of Chinese society. For many people in China, Weibo allows them to be heard publicly and exposed to the rich ideas, cultures and experiences of the broader world.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users, Weibo’s ecosystem includes customers and platform partners:</w:t>
      </w:r>
    </w:p>
    <w:p>
      <w:pPr>
        <w:spacing w:after="0" w:line="225" w:lineRule="exact"/>
        <w:rPr>
          <w:sz w:val="20"/>
          <w:szCs w:val="20"/>
          <w:color w:val="auto"/>
        </w:rPr>
      </w:pPr>
    </w:p>
    <w:p>
      <w:pPr>
        <w:ind w:left="980" w:right="80" w:hanging="324"/>
        <w:spacing w:after="0" w:line="276" w:lineRule="auto"/>
        <w:tabs>
          <w:tab w:leader="none" w:pos="944"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Customers</w:t>
      </w:r>
      <w:r>
        <w:rPr>
          <w:rFonts w:ascii="Arial" w:cs="Arial" w:eastAsia="Arial" w:hAnsi="Arial"/>
          <w:sz w:val="17"/>
          <w:szCs w:val="17"/>
          <w:color w:val="auto"/>
        </w:rPr>
        <w:t>. We enable our advertising and marketing customers to promote their brands, products and services to our users. We offer a wide</w:t>
      </w:r>
      <w:r>
        <w:rPr>
          <w:rFonts w:ascii="Arial" w:cs="Arial" w:eastAsia="Arial" w:hAnsi="Arial"/>
          <w:sz w:val="17"/>
          <w:szCs w:val="17"/>
          <w:i w:val="1"/>
          <w:iCs w:val="1"/>
          <w:color w:val="auto"/>
        </w:rPr>
        <w:t xml:space="preserve"> </w:t>
      </w:r>
      <w:r>
        <w:rPr>
          <w:rFonts w:ascii="Arial" w:cs="Arial" w:eastAsia="Arial" w:hAnsi="Arial"/>
          <w:sz w:val="17"/>
          <w:szCs w:val="17"/>
          <w:color w:val="auto"/>
        </w:rPr>
        <w:t>range of advertising and marketing solutions to customers ranging from large companies to SMEs, including social display advertisement and promoted marketing offerings. Our native promoted marketing offerings allow customers to reach a targeted audience based on the social interest graph, or SIG, of our users. In addition, our customers can benefit from the potential viral effect of their promoted feeds generated from the public and distributed nature of our platform, commonly known as “earned media.”</w:t>
      </w:r>
    </w:p>
    <w:p>
      <w:pPr>
        <w:spacing w:after="0" w:line="172" w:lineRule="exact"/>
        <w:rPr>
          <w:rFonts w:ascii="Arial" w:cs="Arial" w:eastAsia="Arial" w:hAnsi="Arial"/>
          <w:sz w:val="17"/>
          <w:szCs w:val="17"/>
          <w:color w:val="auto"/>
        </w:rPr>
      </w:pPr>
    </w:p>
    <w:p>
      <w:pPr>
        <w:ind w:left="980" w:hanging="324"/>
        <w:spacing w:after="0" w:line="312" w:lineRule="auto"/>
        <w:tabs>
          <w:tab w:leader="none" w:pos="944"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Platform Partners</w:t>
      </w:r>
      <w:r>
        <w:rPr>
          <w:rFonts w:ascii="Arial" w:cs="Arial" w:eastAsia="Arial" w:hAnsi="Arial"/>
          <w:sz w:val="16"/>
          <w:szCs w:val="16"/>
          <w:color w:val="auto"/>
        </w:rPr>
        <w:t>. We have attracted a large number of platform partners, including organizations with media rights, MCNs, self-medias and</w:t>
      </w:r>
      <w:r>
        <w:rPr>
          <w:rFonts w:ascii="Arial" w:cs="Arial" w:eastAsia="Arial" w:hAnsi="Arial"/>
          <w:sz w:val="16"/>
          <w:szCs w:val="16"/>
          <w:i w:val="1"/>
          <w:iCs w:val="1"/>
          <w:color w:val="auto"/>
        </w:rPr>
        <w:t xml:space="preserve"> </w:t>
      </w:r>
      <w:r>
        <w:rPr>
          <w:rFonts w:ascii="Arial" w:cs="Arial" w:eastAsia="Arial" w:hAnsi="Arial"/>
          <w:sz w:val="16"/>
          <w:szCs w:val="16"/>
          <w:color w:val="auto"/>
        </w:rPr>
        <w:t>app developers. Our platform partners contribute a vast amount of content to Weibo, broadly distribute Weibo content across their properties and integrate products and applications with our platform, enriching the experience of our users while increasing our monetization opportunities.</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While we distinguish among users, customers and platform partners in classifying our products and analyzing our revenues, the same person or organization may simultaneously be included in two or more of the categories.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Designed with a “mobile first” philosophy, Weibo displays content in a simple information feed format and offers native advertisement that conform to the information feed on our platform. To support the mobile format, we have developed a SIG recommendation engine that makes it easier for our users to discover content and allows advertisers to promote more relevant advertisements to our users. With the high information-density of Chinese characters and users’ ability to personalize content information feed, Weibo is particularly suited for mobile use, and we have seen significant mobile adoption. Approximately 93% of our MAUs in December 2018 accessed Weibo from mobile devices at least once during the month, and mobile advertising revenues accounted for approximately 83% of our advertising and marketing revenues in 2018.</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began monetization on our platform in 2012, and we have since experienced rapid revenue growth. Our revenues increased from $655.8 million in 2016 to $1,150.1 million in 2017, and further to $1,718.5 million in 2018, representing a CAGR of 61.9%. We generate revenues primarily from customers who purchase advertising and marketing services, and, to a lesser extent, from fee-based revenues, such as VIP membership. In 2018, revenues generated from advertising and marketing services accounted for 87% of our total revenues.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categories include those for users, advertising and marketing customers and platform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Products for Users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product development approach is centered on building simple and useful tools to enable our users to access Weibo to discover, create, and distribute content and interact with others on our platform in real time. We employ a “mobile first” philosophy and have designed our platform around the capabilities of mobile devices. We introduced the first generation of Weibo mobile app in the first quarter of 2010. Our app is compatible with all major mobile operating systems, including Android, iOS and others, and is accessible through mobile apps, mobile websites, computer apps and computer websites. Users can watch videos, read articles, discover hot information feeds and interest-based topics after installing Weibo app or when visiting Weibo websites. Users registered with a Weibo account can set up their account information, post feeds, upload short videos and post articles. Users can also interact between themselves on our platform by following, reposting, adding comments, sending private messages and through other channels.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users range from ordinary people to celebrities, businesses, government agencies and other organizations.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Discovery Products</w:t>
      </w:r>
      <w:r>
        <w:rPr>
          <w:rFonts w:ascii="Arial" w:cs="Arial" w:eastAsia="Arial" w:hAnsi="Arial"/>
          <w:sz w:val="18"/>
          <w:szCs w:val="18"/>
          <w:color w:val="auto"/>
        </w:rPr>
        <w:t>. We offer the following products to help users discover content on our platform:</w:t>
      </w:r>
    </w:p>
    <w:p>
      <w:pPr>
        <w:spacing w:after="0" w:line="225" w:lineRule="exact"/>
        <w:rPr>
          <w:sz w:val="20"/>
          <w:szCs w:val="20"/>
          <w:color w:val="auto"/>
        </w:rPr>
      </w:pPr>
    </w:p>
    <w:p>
      <w:pPr>
        <w:ind w:left="980" w:right="80" w:hanging="324"/>
        <w:spacing w:after="0" w:line="342" w:lineRule="auto"/>
        <w:tabs>
          <w:tab w:leader="none" w:pos="944"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Information Feed</w:t>
      </w:r>
      <w:r>
        <w:rPr>
          <w:rFonts w:ascii="Arial" w:cs="Arial" w:eastAsia="Arial" w:hAnsi="Arial"/>
          <w:sz w:val="16"/>
          <w:szCs w:val="16"/>
          <w:color w:val="auto"/>
        </w:rPr>
        <w:t>. We organize and present users with information feed in different forms. Among all, two most important and most frequently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browsed are relationship-based information feed (follow model) and interest-based information feed, both of which reside on users’ home page.</w:t>
      </w:r>
    </w:p>
    <w:p>
      <w:pPr>
        <w:spacing w:after="0" w:line="124" w:lineRule="exact"/>
        <w:rPr>
          <w:sz w:val="20"/>
          <w:szCs w:val="20"/>
          <w:color w:val="auto"/>
        </w:rPr>
      </w:pPr>
    </w:p>
    <w:p>
      <w:pPr>
        <w:ind w:left="980" w:right="60"/>
        <w:spacing w:after="0" w:line="255" w:lineRule="auto"/>
        <w:rPr>
          <w:sz w:val="20"/>
          <w:szCs w:val="20"/>
          <w:color w:val="auto"/>
        </w:rPr>
      </w:pPr>
      <w:r>
        <w:rPr>
          <w:rFonts w:ascii="Arial" w:cs="Arial" w:eastAsia="Arial" w:hAnsi="Arial"/>
          <w:sz w:val="18"/>
          <w:szCs w:val="18"/>
          <w:color w:val="auto"/>
        </w:rPr>
        <w:t>Each user’s relationship-based information feed displays a regularly updated flow of feeds posted by that user and other users who he or she has opted to follow. Since Weibo allows users to follow other users without establishing a reciprocal relationship, users are able to personalize whom to follow based on their interests. In other words, users can as easily follow celebrities and strangers as they follow friends and acquaintances. To improve user experience, the relationship-based information feed has evolved from a chronological timeline to one with multiple dimensions, including content relevancy, content quality, user interest, user engagement, user relationships and etc. Users can also customize their information feed by classifying followed accounts into different groups, e.g. friends, co-workers, celebrities, finance, sports and view feeds from each group separately.</w:t>
      </w:r>
    </w:p>
    <w:p>
      <w:pPr>
        <w:spacing w:after="0" w:line="189" w:lineRule="exact"/>
        <w:rPr>
          <w:sz w:val="20"/>
          <w:szCs w:val="20"/>
          <w:color w:val="auto"/>
        </w:rPr>
      </w:pPr>
    </w:p>
    <w:p>
      <w:pPr>
        <w:ind w:left="980"/>
        <w:spacing w:after="0" w:line="293" w:lineRule="auto"/>
        <w:rPr>
          <w:sz w:val="20"/>
          <w:szCs w:val="20"/>
          <w:color w:val="auto"/>
        </w:rPr>
      </w:pPr>
      <w:r>
        <w:rPr>
          <w:rFonts w:ascii="Arial" w:cs="Arial" w:eastAsia="Arial" w:hAnsi="Arial"/>
          <w:sz w:val="16"/>
          <w:szCs w:val="16"/>
          <w:color w:val="auto"/>
        </w:rPr>
        <w:t>Interest-based information feeds are timelines of feeds recommended by Weibo based on different interest-based themes. Hot information feed is an example of interested-based information feed that we present at users’ homepage to recommend feeds on recent popular topics, breaking news and feeds generated through users interest. We also organize other interest-based information feeds on various themes for users to further explore the topics in which they are interested. In addition to the above, we offer many other types of information feed as well. For example, video information feed, which appears after a user finishes watching a short video and a timeline of related videos are recommended; and profile information feed, which can be found on a user’s individual page and shows all of the feeds shared by that user.</w:t>
      </w:r>
    </w:p>
    <w:p>
      <w:pPr>
        <w:spacing w:after="0" w:line="165" w:lineRule="exact"/>
        <w:rPr>
          <w:sz w:val="20"/>
          <w:szCs w:val="20"/>
          <w:color w:val="auto"/>
        </w:rPr>
      </w:pPr>
    </w:p>
    <w:p>
      <w:pPr>
        <w:ind w:left="980" w:right="80" w:hanging="324"/>
        <w:spacing w:after="0" w:line="259"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Search</w:t>
      </w:r>
      <w:r>
        <w:rPr>
          <w:rFonts w:ascii="Arial" w:cs="Arial" w:eastAsia="Arial" w:hAnsi="Arial"/>
          <w:sz w:val="18"/>
          <w:szCs w:val="18"/>
          <w:color w:val="auto"/>
        </w:rPr>
        <w:t>. Our search function allows users to search our large content pool for users, feeds, videos, articles, pictures, etc. based on keyword</w:t>
      </w:r>
      <w:r>
        <w:rPr>
          <w:rFonts w:ascii="Arial" w:cs="Arial" w:eastAsia="Arial" w:hAnsi="Arial"/>
          <w:sz w:val="18"/>
          <w:szCs w:val="18"/>
          <w:i w:val="1"/>
          <w:iCs w:val="1"/>
          <w:color w:val="auto"/>
        </w:rPr>
        <w:t xml:space="preserve"> </w:t>
      </w:r>
      <w:r>
        <w:rPr>
          <w:rFonts w:ascii="Arial" w:cs="Arial" w:eastAsia="Arial" w:hAnsi="Arial"/>
          <w:sz w:val="18"/>
          <w:szCs w:val="18"/>
          <w:color w:val="auto"/>
        </w:rPr>
        <w:t>(hashtag), topic or recent popular trending. Through our powerful search function, users can efficiently acquire the most relevant information they seek in real time. Weibo hot search is our hot topic ranking chart which is calculated based on real-time search data, presenting to users the hottest and newest content.</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Discovery Zone</w:t>
      </w:r>
      <w:r>
        <w:rPr>
          <w:rFonts w:ascii="Arial" w:cs="Arial" w:eastAsia="Arial" w:hAnsi="Arial"/>
          <w:sz w:val="18"/>
          <w:szCs w:val="18"/>
          <w:color w:val="auto"/>
        </w:rPr>
        <w:t>. The discovery zone is the interface aggregating Search, Channels, Trends and information feeds for users to conveniently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 variety of content and services based on the user’s current location and topical interests such as games, movie review, ticket purchasing, online music streaming, online shopping and live streaming. Users can find content related to their interests and interact with others of the same interest in the discovery zone.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40" w:hanging="324"/>
        <w:spacing w:after="0" w:line="254"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Channels</w:t>
      </w:r>
      <w:r>
        <w:rPr>
          <w:rFonts w:ascii="Arial" w:cs="Arial" w:eastAsia="Arial" w:hAnsi="Arial"/>
          <w:sz w:val="18"/>
          <w:szCs w:val="18"/>
          <w:color w:val="auto"/>
        </w:rPr>
        <w:t>. Channels gather users based on particular interests or locations and encourage user engagement through interaction within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Users can visit these Channels to find rich content on topics of interest and interact with other users of similar interest. For example, users can stream songs and watch movie trailers from the respective Channels and write reviews in the discussion zone. With Weibo location-based services, users can locate popular points of interest, find information about them, such as show times for movie theaters and menus for restaurants, access coupons, post comments, and see reviews shared by other users. As one of the interest channels, we also offer third-party online games, such as role-play games, card games and strategy games. Most games on Weibo are free and certain games have in-app purchase options for enhanced gaming experience. Weibo receives part of the revenues from such purchases through arrangements with the game developers.</w:t>
      </w:r>
    </w:p>
    <w:p>
      <w:pPr>
        <w:spacing w:after="0" w:line="192" w:lineRule="exact"/>
        <w:rPr>
          <w:rFonts w:ascii="Arial" w:cs="Arial" w:eastAsia="Arial" w:hAnsi="Arial"/>
          <w:sz w:val="18"/>
          <w:szCs w:val="18"/>
          <w:color w:val="auto"/>
        </w:rPr>
      </w:pPr>
    </w:p>
    <w:p>
      <w:pPr>
        <w:ind w:left="980" w:right="80" w:hanging="324"/>
        <w:spacing w:after="0" w:line="264"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Trends</w:t>
      </w:r>
      <w:r>
        <w:rPr>
          <w:rFonts w:ascii="Arial" w:cs="Arial" w:eastAsia="Arial" w:hAnsi="Arial"/>
          <w:sz w:val="18"/>
          <w:szCs w:val="18"/>
          <w:color w:val="auto"/>
        </w:rPr>
        <w:t>. Trends are lists of hot topics on Weibo. A user can start a topic discussion by adding hashtags (#) around a word or phrase in a feed. The</w:t>
      </w:r>
      <w:r>
        <w:rPr>
          <w:rFonts w:ascii="Arial" w:cs="Arial" w:eastAsia="Arial" w:hAnsi="Arial"/>
          <w:sz w:val="18"/>
          <w:szCs w:val="18"/>
          <w:i w:val="1"/>
          <w:iCs w:val="1"/>
          <w:color w:val="auto"/>
        </w:rPr>
        <w:t xml:space="preserve"> </w:t>
      </w:r>
      <w:r>
        <w:rPr>
          <w:rFonts w:ascii="Arial" w:cs="Arial" w:eastAsia="Arial" w:hAnsi="Arial"/>
          <w:sz w:val="18"/>
          <w:szCs w:val="18"/>
          <w:color w:val="auto"/>
        </w:rPr>
        <w:t>key word or phrase then becomes searchable with a single click. Top trends are listed in the discovery zone. Users may view feeds under each trending topic and participate in the discussion.</w:t>
      </w:r>
    </w:p>
    <w:p>
      <w:pPr>
        <w:spacing w:after="0" w:line="181" w:lineRule="exact"/>
        <w:rPr>
          <w:rFonts w:ascii="Arial" w:cs="Arial" w:eastAsia="Arial" w:hAnsi="Arial"/>
          <w:sz w:val="18"/>
          <w:szCs w:val="18"/>
          <w:color w:val="auto"/>
        </w:rPr>
      </w:pPr>
    </w:p>
    <w:p>
      <w:pPr>
        <w:ind w:left="980" w:right="140" w:hanging="324"/>
        <w:spacing w:after="0" w:line="259"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Video Community</w:t>
      </w:r>
      <w:r>
        <w:rPr>
          <w:rFonts w:ascii="Arial" w:cs="Arial" w:eastAsia="Arial" w:hAnsi="Arial"/>
          <w:sz w:val="18"/>
          <w:szCs w:val="18"/>
          <w:color w:val="auto"/>
        </w:rPr>
        <w:t>. The video community is the interface aggregating video content from different verticals for users to conveniently access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consume. User could also interact with video content creators and other platform users within the community. Video content offerings are categorized into different channels based on users’ social relationship and vertical interests, such as Story, Movie, Celebrity, Vlog and Media, etc.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Self-Expression Products</w:t>
      </w:r>
      <w:r>
        <w:rPr>
          <w:rFonts w:ascii="Arial" w:cs="Arial" w:eastAsia="Arial" w:hAnsi="Arial"/>
          <w:sz w:val="18"/>
          <w:szCs w:val="18"/>
          <w:color w:val="auto"/>
        </w:rPr>
        <w:t>. We offer the following products to enable our users to express themselves on our platform:</w:t>
      </w:r>
    </w:p>
    <w:p>
      <w:pPr>
        <w:spacing w:after="0" w:line="225" w:lineRule="exact"/>
        <w:rPr>
          <w:sz w:val="20"/>
          <w:szCs w:val="20"/>
          <w:color w:val="auto"/>
        </w:rPr>
      </w:pPr>
    </w:p>
    <w:p>
      <w:pPr>
        <w:ind w:left="980" w:right="320" w:hanging="324"/>
        <w:spacing w:after="0" w:line="264"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Post</w:t>
      </w:r>
      <w:r>
        <w:rPr>
          <w:rFonts w:ascii="Arial" w:cs="Arial" w:eastAsia="Arial" w:hAnsi="Arial"/>
          <w:sz w:val="18"/>
          <w:szCs w:val="18"/>
          <w:color w:val="auto"/>
        </w:rPr>
        <w:t>. Weibo enables users to express and share their ideas, opinions and stories in the form of text and multimedia content. A post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140 Chinese characters, and can include rich, descriptive and vivid content such as photos, music, short videos, live streaming and long-form articles.</w:t>
      </w:r>
    </w:p>
    <w:p>
      <w:pPr>
        <w:spacing w:after="0" w:line="181" w:lineRule="exact"/>
        <w:rPr>
          <w:rFonts w:ascii="Arial" w:cs="Arial" w:eastAsia="Arial" w:hAnsi="Arial"/>
          <w:sz w:val="18"/>
          <w:szCs w:val="18"/>
          <w:color w:val="auto"/>
        </w:rPr>
      </w:pPr>
    </w:p>
    <w:p>
      <w:pPr>
        <w:ind w:left="980" w:right="20" w:hanging="324"/>
        <w:spacing w:after="0" w:line="269" w:lineRule="auto"/>
        <w:tabs>
          <w:tab w:leader="none" w:pos="944"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Individual Page</w:t>
      </w:r>
      <w:r>
        <w:rPr>
          <w:rFonts w:ascii="Arial" w:cs="Arial" w:eastAsia="Arial" w:hAnsi="Arial"/>
          <w:sz w:val="17"/>
          <w:szCs w:val="17"/>
          <w:color w:val="auto"/>
        </w:rPr>
        <w:t>. Each individual user has an Individual Page to express and share ideas, opinions and stories in the form of text and multimedia</w:t>
      </w:r>
      <w:r>
        <w:rPr>
          <w:rFonts w:ascii="Arial" w:cs="Arial" w:eastAsia="Arial" w:hAnsi="Arial"/>
          <w:sz w:val="17"/>
          <w:szCs w:val="17"/>
          <w:i w:val="1"/>
          <w:iCs w:val="1"/>
          <w:color w:val="auto"/>
        </w:rPr>
        <w:t xml:space="preserve"> </w:t>
      </w:r>
      <w:r>
        <w:rPr>
          <w:rFonts w:ascii="Arial" w:cs="Arial" w:eastAsia="Arial" w:hAnsi="Arial"/>
          <w:sz w:val="17"/>
          <w:szCs w:val="17"/>
          <w:color w:val="auto"/>
        </w:rPr>
        <w:t>content. Basic information about a user, including username, introduction, education, location, liked feeds, accounts followed, follower accounts and Weibo account number, is also available on the user’s Page. Individual users with verified authentic identity information will have an orange “V” mark on their profile picture. Weibo VIP membership, which can be purchased mainly through monthly, quarterly, or annual subscriptions, offers certain additional services and functions not available to free users, such as following more users, more personalization of their Pages, additional options to manage information feeds and followers and access to premium games. Business and other organizations with verified identities can apply for enterprise accounts, create an Enterprise Page and will have a blue “V” mark on their profile picture. We enable organizations to customize their Pages and to increase brand awareness, interact with followers, perform marketing events, promotion activities, and advertisement campaigns on Weibo. We also enable business and other organizations to increase its business efficiency by providing various tools. For example, an e-commerce merchant can facilitate purchase activities through Weibo or offer “red envelop,” and drawings to build a follower base.</w:t>
      </w:r>
    </w:p>
    <w:p>
      <w:pPr>
        <w:spacing w:after="0" w:line="182" w:lineRule="exact"/>
        <w:rPr>
          <w:rFonts w:ascii="Arial" w:cs="Arial" w:eastAsia="Arial" w:hAnsi="Arial"/>
          <w:sz w:val="17"/>
          <w:szCs w:val="17"/>
          <w:color w:val="auto"/>
        </w:rPr>
      </w:pPr>
    </w:p>
    <w:p>
      <w:pPr>
        <w:ind w:left="980" w:hanging="324"/>
        <w:spacing w:after="0" w:line="264"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Story</w:t>
      </w:r>
      <w:r>
        <w:rPr>
          <w:rFonts w:ascii="Arial" w:cs="Arial" w:eastAsia="Arial" w:hAnsi="Arial"/>
          <w:sz w:val="18"/>
          <w:szCs w:val="18"/>
          <w:color w:val="auto"/>
        </w:rPr>
        <w:t>. Users can continuously create, share and discover photos and full-screen vertical short videos. Stories allow users to more easily create,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 contents and interact with their relations on smartphone. It gains popularity quickly among Weibo users, especially younger generation. In addition, user can use tools such as stickers, filters and music to express their personality.</w:t>
      </w:r>
    </w:p>
    <w:p>
      <w:pPr>
        <w:spacing w:after="0" w:line="181"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Top Articles</w:t>
      </w:r>
      <w:r>
        <w:rPr>
          <w:rFonts w:ascii="Arial" w:cs="Arial" w:eastAsia="Arial" w:hAnsi="Arial"/>
          <w:sz w:val="18"/>
          <w:szCs w:val="18"/>
          <w:color w:val="auto"/>
        </w:rPr>
        <w:t>. Top Articles satisfies user needs for content creation and presentation. Users can create beautifully presented content through Top</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and publish through Weibo which will display such content in the information feed.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Weibo Q&amp;A</w:t>
      </w:r>
      <w:r>
        <w:rPr>
          <w:rFonts w:ascii="Arial" w:cs="Arial" w:eastAsia="Arial" w:hAnsi="Arial"/>
          <w:sz w:val="18"/>
          <w:szCs w:val="18"/>
          <w:color w:val="auto"/>
        </w:rPr>
        <w:t>. Weibo Q&amp;A is our question-and-answer platform where users can engage in free Q&amp;A as well as paid Q&amp;A. Through creation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 of user generated content, it strengthens user engagement on Weibo.</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Weibo Live Streaming</w:t>
      </w:r>
      <w:r>
        <w:rPr>
          <w:rFonts w:ascii="Arial" w:cs="Arial" w:eastAsia="Arial" w:hAnsi="Arial"/>
          <w:sz w:val="18"/>
          <w:szCs w:val="18"/>
          <w:color w:val="auto"/>
        </w:rPr>
        <w:t>. Weibo Live Streaming includes showcase live streaming and media live streaming that satisfy the broadcasting demand of</w:t>
      </w:r>
      <w:r>
        <w:rPr>
          <w:rFonts w:ascii="Arial" w:cs="Arial" w:eastAsia="Arial" w:hAnsi="Arial"/>
          <w:sz w:val="18"/>
          <w:szCs w:val="18"/>
          <w:i w:val="1"/>
          <w:iCs w:val="1"/>
          <w:color w:val="auto"/>
        </w:rPr>
        <w:t xml:space="preserve"> </w:t>
      </w:r>
      <w:r>
        <w:rPr>
          <w:rFonts w:ascii="Arial" w:cs="Arial" w:eastAsia="Arial" w:hAnsi="Arial"/>
          <w:sz w:val="18"/>
          <w:szCs w:val="18"/>
          <w:color w:val="auto"/>
        </w:rPr>
        <w:t>both individual users and business or organization users.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Social Products</w:t>
      </w:r>
      <w:r>
        <w:rPr>
          <w:rFonts w:ascii="Arial" w:cs="Arial" w:eastAsia="Arial" w:hAnsi="Arial"/>
          <w:sz w:val="18"/>
          <w:szCs w:val="18"/>
          <w:color w:val="auto"/>
        </w:rPr>
        <w:t>. We offer the following mechanisms to promote social interaction between users on our platform:</w:t>
      </w:r>
    </w:p>
    <w:p>
      <w:pPr>
        <w:spacing w:after="0" w:line="225" w:lineRule="exact"/>
        <w:rPr>
          <w:sz w:val="20"/>
          <w:szCs w:val="20"/>
          <w:color w:val="auto"/>
        </w:rPr>
      </w:pPr>
    </w:p>
    <w:p>
      <w:pPr>
        <w:ind w:left="980" w:right="120" w:hanging="324"/>
        <w:spacing w:after="0" w:line="312" w:lineRule="auto"/>
        <w:tabs>
          <w:tab w:leader="none" w:pos="944"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Follow</w:t>
      </w:r>
      <w:r>
        <w:rPr>
          <w:rFonts w:ascii="Arial" w:cs="Arial" w:eastAsia="Arial" w:hAnsi="Arial"/>
          <w:sz w:val="16"/>
          <w:szCs w:val="16"/>
          <w:color w:val="auto"/>
        </w:rPr>
        <w:t>. Users can establish relationships with other users by electing to follow them. Feeds that are posted or reposted by a user will</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appear in the information feed of the user’s follower. Relationships may be asymmetrical. The user being followed does not need to approve the follower’s decision to follow them, although a user can choose to limit access to certain feeds or to blacklist a certain follower.</w:t>
      </w:r>
    </w:p>
    <w:p>
      <w:pPr>
        <w:spacing w:after="0" w:line="146" w:lineRule="exact"/>
        <w:rPr>
          <w:rFonts w:ascii="Arial" w:cs="Arial" w:eastAsia="Arial" w:hAnsi="Arial"/>
          <w:sz w:val="16"/>
          <w:szCs w:val="16"/>
          <w:color w:val="auto"/>
        </w:rPr>
      </w:pPr>
    </w:p>
    <w:p>
      <w:pPr>
        <w:ind w:left="980" w:hanging="324"/>
        <w:spacing w:after="0" w:line="273" w:lineRule="auto"/>
        <w:tabs>
          <w:tab w:leader="none" w:pos="944"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Repost, Comment, Favorite, Like</w:t>
      </w:r>
      <w:r>
        <w:rPr>
          <w:rFonts w:ascii="Arial" w:cs="Arial" w:eastAsia="Arial" w:hAnsi="Arial"/>
          <w:sz w:val="17"/>
          <w:szCs w:val="17"/>
          <w:color w:val="auto"/>
        </w:rPr>
        <w:t>. By clicking on the Repost button, users can repost feeds from other users. When a feed is reposted, the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 is able to virally reach and influence users beyond that author’s own circle of followers, leveraging the network of the followers of the author’s followers, sometimes many degrees away. Users can add their own comments when they repost and share their view on the original feed with their followers. Users can also leave comments on a feed by clicking on the Comment button. If they like a feed, they can click on the Like button to express their support for the feed. At the bottom of each feed, users can see how many people have Reposted, Commented on or Liked the feed. Users can also save feeds into their favorites by clicking on the Favorite button.</w:t>
      </w:r>
    </w:p>
    <w:p>
      <w:pPr>
        <w:spacing w:after="0" w:line="178" w:lineRule="exact"/>
        <w:rPr>
          <w:rFonts w:ascii="Arial" w:cs="Arial" w:eastAsia="Arial" w:hAnsi="Arial"/>
          <w:sz w:val="17"/>
          <w:szCs w:val="17"/>
          <w:color w:val="auto"/>
        </w:rPr>
      </w:pPr>
    </w:p>
    <w:p>
      <w:pPr>
        <w:ind w:left="980" w:right="240" w:hanging="324"/>
        <w:spacing w:after="0" w:line="264"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@Mention</w:t>
      </w:r>
      <w:r>
        <w:rPr>
          <w:rFonts w:ascii="Arial" w:cs="Arial" w:eastAsia="Arial" w:hAnsi="Arial"/>
          <w:sz w:val="18"/>
          <w:szCs w:val="18"/>
          <w:color w:val="auto"/>
        </w:rPr>
        <w:t>. Users can view their history of interactions with other users by going to the @Mention Page, which allows users to access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feeds in which they are mentioned by other users. In addition, users can see a list of comments from other users on their own feeds, as well as the Likes on their feeds.</w:t>
      </w:r>
    </w:p>
    <w:p>
      <w:pPr>
        <w:spacing w:after="0" w:line="181" w:lineRule="exact"/>
        <w:rPr>
          <w:rFonts w:ascii="Arial" w:cs="Arial" w:eastAsia="Arial" w:hAnsi="Arial"/>
          <w:sz w:val="18"/>
          <w:szCs w:val="18"/>
          <w:color w:val="auto"/>
        </w:rPr>
      </w:pPr>
    </w:p>
    <w:p>
      <w:pPr>
        <w:ind w:left="980" w:right="120" w:hanging="324"/>
        <w:spacing w:after="0" w:line="308" w:lineRule="auto"/>
        <w:tabs>
          <w:tab w:leader="none" w:pos="944"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Messenger</w:t>
      </w:r>
      <w:r>
        <w:rPr>
          <w:rFonts w:ascii="Arial" w:cs="Arial" w:eastAsia="Arial" w:hAnsi="Arial"/>
          <w:sz w:val="17"/>
          <w:szCs w:val="17"/>
          <w:color w:val="auto"/>
        </w:rPr>
        <w:t>. Users can send private messages in the form of text or voice recordings and can attach photos, locations and group contact cards.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users can also use messengers to hand out “red envelops”, lucky money, and receive payments from other users.</w:t>
      </w:r>
    </w:p>
    <w:p>
      <w:pPr>
        <w:spacing w:after="0" w:line="146" w:lineRule="exact"/>
        <w:rPr>
          <w:rFonts w:ascii="Arial" w:cs="Arial" w:eastAsia="Arial" w:hAnsi="Arial"/>
          <w:sz w:val="17"/>
          <w:szCs w:val="17"/>
          <w:color w:val="auto"/>
        </w:rPr>
      </w:pPr>
    </w:p>
    <w:p>
      <w:pPr>
        <w:ind w:left="980" w:right="20" w:hanging="324"/>
        <w:spacing w:after="0" w:line="312" w:lineRule="auto"/>
        <w:tabs>
          <w:tab w:leader="none" w:pos="944"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Group Chat</w:t>
      </w:r>
      <w:r>
        <w:rPr>
          <w:rFonts w:ascii="Arial" w:cs="Arial" w:eastAsia="Arial" w:hAnsi="Arial"/>
          <w:sz w:val="16"/>
          <w:szCs w:val="16"/>
          <w:color w:val="auto"/>
        </w:rPr>
        <w:t>. Group Chat enables users to organize and participate in conversations based on common interest. For example, fans of a celebrity</w:t>
      </w:r>
      <w:r>
        <w:rPr>
          <w:rFonts w:ascii="Arial" w:cs="Arial" w:eastAsia="Arial" w:hAnsi="Arial"/>
          <w:sz w:val="16"/>
          <w:szCs w:val="16"/>
          <w:i w:val="1"/>
          <w:iCs w:val="1"/>
          <w:color w:val="auto"/>
        </w:rPr>
        <w:t xml:space="preserve"> </w:t>
      </w:r>
      <w:r>
        <w:rPr>
          <w:rFonts w:ascii="Arial" w:cs="Arial" w:eastAsia="Arial" w:hAnsi="Arial"/>
          <w:sz w:val="16"/>
          <w:szCs w:val="16"/>
          <w:color w:val="auto"/>
        </w:rPr>
        <w:t>can establish chat rooms to share the latest gossips and tidbits, and the celebrity himself may choose to “drop in” to increase the livelihood of his fan base. In addition, users who are viewing the same live streaming session can simultaneously participate in a group chat as well.</w:t>
      </w:r>
    </w:p>
    <w:p>
      <w:pPr>
        <w:spacing w:after="0" w:line="146" w:lineRule="exact"/>
        <w:rPr>
          <w:rFonts w:ascii="Arial" w:cs="Arial" w:eastAsia="Arial" w:hAnsi="Arial"/>
          <w:sz w:val="16"/>
          <w:szCs w:val="16"/>
          <w:color w:val="auto"/>
        </w:rPr>
      </w:pPr>
    </w:p>
    <w:p>
      <w:pPr>
        <w:ind w:left="980" w:right="120" w:hanging="324"/>
        <w:spacing w:after="0" w:line="277"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Topic Discussion</w:t>
      </w:r>
      <w:r>
        <w:rPr>
          <w:rFonts w:ascii="Arial" w:cs="Arial" w:eastAsia="Arial" w:hAnsi="Arial"/>
          <w:sz w:val="18"/>
          <w:szCs w:val="18"/>
          <w:color w:val="auto"/>
        </w:rPr>
        <w:t>: By accessing the topic feeds embedded in the Discovery Zone, users can consume hot topics and trends on Weibo, participate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in specific topic discussions and interact with other platform users with similar topical interests.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Products for Advertising and Marketing Customers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seek to provide advertising and marketing solutions to enable our customers to promote their brands and conduct effective marketing activities. We provide our customers with analytical tools to enable them to track and improve the effectiveness of their marketing campaigns on our platform. Our advertising and marketing customers include key accounts, Alibaba and SMEs that seek a full spectrum of online advertising and marketing services ranging from brand awareness to interest generation, sales conversion and loyalty marketing.</w:t>
      </w:r>
    </w:p>
    <w:p>
      <w:pPr>
        <w:spacing w:after="0" w:line="18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i w:val="1"/>
          <w:iCs w:val="1"/>
          <w:color w:val="auto"/>
        </w:rPr>
        <w:t>Social Display Advertisements</w:t>
      </w:r>
      <w:r>
        <w:rPr>
          <w:rFonts w:ascii="Arial" w:cs="Arial" w:eastAsia="Arial" w:hAnsi="Arial"/>
          <w:sz w:val="18"/>
          <w:szCs w:val="18"/>
          <w:color w:val="auto"/>
        </w:rPr>
        <w:t>. Social display advertisements appear on the app opening page, the Discovery Zone banner and website home</w:t>
      </w:r>
      <w:r>
        <w:rPr>
          <w:rFonts w:ascii="Arial" w:cs="Arial" w:eastAsia="Arial" w:hAnsi="Arial"/>
          <w:sz w:val="18"/>
          <w:szCs w:val="18"/>
          <w:i w:val="1"/>
          <w:iCs w:val="1"/>
          <w:color w:val="auto"/>
        </w:rPr>
        <w:t xml:space="preserve"> </w:t>
      </w:r>
      <w:r>
        <w:rPr>
          <w:rFonts w:ascii="Arial" w:cs="Arial" w:eastAsia="Arial" w:hAnsi="Arial"/>
          <w:sz w:val="18"/>
          <w:szCs w:val="18"/>
          <w:color w:val="auto"/>
        </w:rPr>
        <w:t>page banner. When users click on a display advertisement, they may be redirected to the advertiser’s Weibo Page for further engagement. Social display advertisements mainly serve key account customers.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Promoted Marketing</w:t>
      </w:r>
      <w:r>
        <w:rPr>
          <w:rFonts w:ascii="Arial" w:cs="Arial" w:eastAsia="Arial" w:hAnsi="Arial"/>
          <w:sz w:val="18"/>
          <w:szCs w:val="18"/>
          <w:color w:val="auto"/>
        </w:rPr>
        <w:t>. Our promoted marketing offerings include the following:</w:t>
      </w:r>
    </w:p>
    <w:p>
      <w:pPr>
        <w:spacing w:after="0" w:line="225" w:lineRule="exact"/>
        <w:rPr>
          <w:sz w:val="20"/>
          <w:szCs w:val="20"/>
          <w:color w:val="auto"/>
        </w:rPr>
      </w:pPr>
    </w:p>
    <w:p>
      <w:pPr>
        <w:ind w:left="980" w:right="140" w:hanging="324"/>
        <w:spacing w:after="0" w:line="25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Promoted Feeds</w:t>
      </w:r>
      <w:r>
        <w:rPr>
          <w:rFonts w:ascii="Arial" w:cs="Arial" w:eastAsia="Arial" w:hAnsi="Arial"/>
          <w:sz w:val="18"/>
          <w:szCs w:val="18"/>
          <w:color w:val="auto"/>
        </w:rPr>
        <w:t>. Promoted feeds appear in the user’s information feed alongside organic feeds. We encourage our customers to produce feeds</w:t>
      </w:r>
      <w:r>
        <w:rPr>
          <w:rFonts w:ascii="Arial" w:cs="Arial" w:eastAsia="Arial" w:hAnsi="Arial"/>
          <w:sz w:val="18"/>
          <w:szCs w:val="18"/>
          <w:i w:val="1"/>
          <w:iCs w:val="1"/>
          <w:color w:val="auto"/>
        </w:rPr>
        <w:t xml:space="preserve"> </w:t>
      </w:r>
      <w:r>
        <w:rPr>
          <w:rFonts w:ascii="Arial" w:cs="Arial" w:eastAsia="Arial" w:hAnsi="Arial"/>
          <w:sz w:val="18"/>
          <w:szCs w:val="18"/>
          <w:color w:val="auto"/>
        </w:rPr>
        <w:t>that have relevant information value similar to that of the users’ organic feeds. Customers may use our SIG recommendation engine to better target their audience and improve the relevancy of the advertisement to the users. As with other feeds, users can Repost, Comment on and Like promoted feeds, amplifying the visibility and reach of the original promoted feed and generating earned media to our customers. We offer promoted feeds tailored to different customer segments such as:</w:t>
      </w:r>
    </w:p>
    <w:p>
      <w:pPr>
        <w:spacing w:after="0" w:line="188" w:lineRule="exact"/>
        <w:rPr>
          <w:rFonts w:ascii="Arial" w:cs="Arial" w:eastAsia="Arial" w:hAnsi="Arial"/>
          <w:sz w:val="18"/>
          <w:szCs w:val="18"/>
          <w:color w:val="auto"/>
        </w:rPr>
      </w:pPr>
    </w:p>
    <w:p>
      <w:pPr>
        <w:ind w:left="1300" w:right="20" w:hanging="320"/>
        <w:spacing w:after="0" w:line="271" w:lineRule="auto"/>
        <w:tabs>
          <w:tab w:leader="none" w:pos="12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Super FST is an advertising platform specifically for information feeds advertising products under a real time bidding system. By leverage Weibo’s massive user data, Super FST can help customers precisely target users based on user attributes and social relations, enabling customers to achieve marketing objectives such as improving customers’ branding, increasing website visits and advertisement conversion rate, growing fan bases, increase app installation rates and collecting sales leads. Customer can place information feeds advertisements either through our authorized distributor, or directly by themselves on Super FST. Super FST can help to target segment audience via multiple dimensions, including user quality, scenarios, social relations, behaviors and interests. In this way, brands can precisely target users with different features. Super FST provides various advertising formats, such as multi-image post, image-text advertisements, video advertisements and matrix advertisements.</w:t>
      </w:r>
    </w:p>
    <w:p>
      <w:pPr>
        <w:spacing w:after="0" w:line="178" w:lineRule="exact"/>
        <w:rPr>
          <w:rFonts w:ascii="Arial" w:cs="Arial" w:eastAsia="Arial" w:hAnsi="Arial"/>
          <w:sz w:val="17"/>
          <w:szCs w:val="17"/>
          <w:color w:val="auto"/>
        </w:rPr>
      </w:pPr>
    </w:p>
    <w:p>
      <w:pPr>
        <w:ind w:left="1300" w:right="220" w:hanging="320"/>
        <w:spacing w:after="0" w:line="277" w:lineRule="auto"/>
        <w:tabs>
          <w:tab w:leader="none" w:pos="12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Fans Headline is a promoted service that guarantees a certain feed from the customer will appear at the top of the information feeds of the customer’s followers;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Weibo Express is a promoted service offered to key accounts for them to reach and engage with a broad range of Weibo users; and</w:t>
      </w:r>
    </w:p>
    <w:p>
      <w:pPr>
        <w:spacing w:after="0" w:line="236" w:lineRule="exact"/>
        <w:rPr>
          <w:rFonts w:ascii="Arial" w:cs="Arial" w:eastAsia="Arial" w:hAnsi="Arial"/>
          <w:sz w:val="17"/>
          <w:szCs w:val="17"/>
          <w:color w:val="auto"/>
        </w:rPr>
      </w:pPr>
    </w:p>
    <w:p>
      <w:pPr>
        <w:ind w:left="980" w:hanging="324"/>
        <w:spacing w:after="0" w:line="259"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Promoted Accounts</w:t>
      </w:r>
      <w:r>
        <w:rPr>
          <w:rFonts w:ascii="Arial" w:cs="Arial" w:eastAsia="Arial" w:hAnsi="Arial"/>
          <w:sz w:val="18"/>
          <w:szCs w:val="18"/>
          <w:color w:val="auto"/>
        </w:rPr>
        <w:t>. Promoted accounts usually appear in various Weibo’s relationship recommendation scenes on mobile devices such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recommended accounts area, or directly in the information feed on mobile devices. Promoted accounts are labeled but otherwise appear in the same format as other accounts that we recommend to our users. Promoted accounts provide customers a way to grow their followers, with whom they can then drive engagement and accumulate social assets using their Weibo Pages.</w:t>
      </w:r>
    </w:p>
    <w:p>
      <w:pPr>
        <w:spacing w:after="0" w:line="186" w:lineRule="exact"/>
        <w:rPr>
          <w:rFonts w:ascii="Arial" w:cs="Arial" w:eastAsia="Arial" w:hAnsi="Arial"/>
          <w:sz w:val="18"/>
          <w:szCs w:val="18"/>
          <w:color w:val="auto"/>
        </w:rPr>
      </w:pPr>
    </w:p>
    <w:p>
      <w:pPr>
        <w:ind w:left="980" w:right="40" w:hanging="324"/>
        <w:spacing w:after="0" w:line="279" w:lineRule="auto"/>
        <w:tabs>
          <w:tab w:leader="none" w:pos="94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Promoted Trends and Search</w:t>
      </w:r>
      <w:r>
        <w:rPr>
          <w:rFonts w:ascii="Arial" w:cs="Arial" w:eastAsia="Arial" w:hAnsi="Arial"/>
          <w:sz w:val="17"/>
          <w:szCs w:val="17"/>
          <w:color w:val="auto"/>
        </w:rPr>
        <w:t>. Promoted trends and search products appear alongside user’s organic trends discovery and search behaviors,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keywords, topics and trends. Promoted trends, which are labeled as “promoted,” appear at the top of the list of trending topics. When a user clicks on a promoted trend, he will be redirected to the sponsor’s landing page. Promoted search usually appears as the default keyword or topic in the search bar or triggered by users’ search behaviors of certain sponsored keyword or topic.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Products for Platform Partners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seek to provide our platform partners with abundant tools and services, which improves Weibo’s content ecosystem with more diverse and high quality content, increases user engagement, enhances user experience, expand user scale and strengthens platform influence. Our platform partners include traditional and online media outlets, copyright content providers, MCNs and other self-media, as well as app developers and data suppliers. We offer different products tailored to different types of platform partners, including:</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Products for copyright content providers. </w:t>
      </w:r>
      <w:r>
        <w:rPr>
          <w:rFonts w:ascii="Arial" w:cs="Arial" w:eastAsia="Arial" w:hAnsi="Arial"/>
          <w:sz w:val="18"/>
          <w:szCs w:val="18"/>
          <w:color w:val="auto"/>
        </w:rPr>
        <w:t>We work with TV channels, online video websites and operators with copyright content through traffic</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 exchange and content traffic sharing. Such cooperation enriches Weibo’s content ecosystem with diversified video content and strengthen Weibo’s brands influence, while at the same time enhances partners’ user scales, and their brands influence.</w:t>
      </w:r>
    </w:p>
    <w:p>
      <w:pPr>
        <w:spacing w:after="0" w:line="181" w:lineRule="exact"/>
        <w:rPr>
          <w:sz w:val="20"/>
          <w:szCs w:val="20"/>
          <w:color w:val="auto"/>
        </w:rPr>
      </w:pPr>
    </w:p>
    <w:p>
      <w:pPr>
        <w:ind w:left="980" w:right="560" w:hanging="324"/>
        <w:spacing w:after="0" w:line="277" w:lineRule="auto"/>
        <w:tabs>
          <w:tab w:leader="none" w:pos="94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Standardized products. </w:t>
      </w:r>
      <w:r>
        <w:rPr>
          <w:rFonts w:ascii="Arial" w:cs="Arial" w:eastAsia="Arial" w:hAnsi="Arial"/>
          <w:sz w:val="18"/>
          <w:szCs w:val="18"/>
          <w:color w:val="auto"/>
        </w:rPr>
        <w:t>Our standardized products to platform partners include, among others, Trends, Search, Video/Live Streaming, and</w:t>
      </w:r>
      <w:r>
        <w:rPr>
          <w:rFonts w:ascii="Arial" w:cs="Arial" w:eastAsia="Arial" w:hAnsi="Arial"/>
          <w:sz w:val="18"/>
          <w:szCs w:val="18"/>
          <w:i w:val="1"/>
          <w:iCs w:val="1"/>
          <w:color w:val="auto"/>
        </w:rPr>
        <w:t xml:space="preserve"> </w:t>
      </w:r>
      <w:r>
        <w:rPr>
          <w:rFonts w:ascii="Arial" w:cs="Arial" w:eastAsia="Arial" w:hAnsi="Arial"/>
          <w:sz w:val="18"/>
          <w:szCs w:val="18"/>
          <w:color w:val="auto"/>
        </w:rPr>
        <w:t>Editing tools.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2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Customized products. </w:t>
      </w:r>
      <w:r>
        <w:rPr>
          <w:rFonts w:ascii="Arial" w:cs="Arial" w:eastAsia="Arial" w:hAnsi="Arial"/>
          <w:sz w:val="18"/>
          <w:szCs w:val="18"/>
          <w:color w:val="auto"/>
        </w:rPr>
        <w:t>We provide customized products such as content customization, pooling of copyright contents and user interaction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to our platform partners.</w:t>
      </w:r>
    </w:p>
    <w:p>
      <w:pPr>
        <w:spacing w:after="0" w:line="170" w:lineRule="exact"/>
        <w:rPr>
          <w:rFonts w:ascii="Arial" w:cs="Arial" w:eastAsia="Arial" w:hAnsi="Arial"/>
          <w:sz w:val="18"/>
          <w:szCs w:val="18"/>
          <w:color w:val="auto"/>
        </w:rPr>
      </w:pPr>
    </w:p>
    <w:p>
      <w:pPr>
        <w:ind w:left="980" w:right="1060" w:hanging="324"/>
        <w:spacing w:after="0" w:line="277" w:lineRule="auto"/>
        <w:tabs>
          <w:tab w:leader="none" w:pos="944"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Resource services. </w:t>
      </w:r>
      <w:r>
        <w:rPr>
          <w:rFonts w:ascii="Arial" w:cs="Arial" w:eastAsia="Arial" w:hAnsi="Arial"/>
          <w:sz w:val="18"/>
          <w:szCs w:val="18"/>
          <w:color w:val="auto"/>
        </w:rPr>
        <w:t>We provide our platform partners with operational resources to expand their brand influence, such as search list</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 trends list recommendation and Weibo app opening advertisements.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Products for MCNs and other self-media. </w:t>
      </w:r>
      <w:r>
        <w:rPr>
          <w:rFonts w:ascii="Arial" w:cs="Arial" w:eastAsia="Arial" w:hAnsi="Arial"/>
          <w:sz w:val="16"/>
          <w:szCs w:val="16"/>
          <w:color w:val="auto"/>
        </w:rPr>
        <w:t>Self-media refers to organization partners with the ability to manage and provide services to top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creators on Weibo, such as MCNs, unions and e-commerce partners. These top content creators produce various types of content on Weibo in the form of video, live stream, images and text. We provide self-media with standardized products and services to help them build up and monetize social assets, which in return enables them to produce more content and attracting more self-medias to our platform. Our products and services to them include:</w:t>
      </w:r>
    </w:p>
    <w:p>
      <w:pPr>
        <w:spacing w:after="0" w:line="154" w:lineRule="exact"/>
        <w:rPr>
          <w:sz w:val="20"/>
          <w:szCs w:val="20"/>
          <w:color w:val="auto"/>
        </w:rPr>
      </w:pPr>
    </w:p>
    <w:p>
      <w:pPr>
        <w:ind w:left="980" w:right="180" w:hanging="324"/>
        <w:spacing w:after="0" w:line="381" w:lineRule="auto"/>
        <w:tabs>
          <w:tab w:leader="none" w:pos="944"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Back-end management. </w:t>
      </w:r>
      <w:r>
        <w:rPr>
          <w:rFonts w:ascii="Arial" w:cs="Arial" w:eastAsia="Arial" w:hAnsi="Arial"/>
          <w:sz w:val="15"/>
          <w:szCs w:val="15"/>
          <w:color w:val="auto"/>
        </w:rPr>
        <w:t>We provide standardized and specialized back-end management allowing self-media to manage their content creator</w:t>
      </w:r>
      <w:r>
        <w:rPr>
          <w:rFonts w:ascii="Arial" w:cs="Arial" w:eastAsia="Arial" w:hAnsi="Arial"/>
          <w:sz w:val="15"/>
          <w:szCs w:val="15"/>
          <w:i w:val="1"/>
          <w:iCs w:val="1"/>
          <w:color w:val="auto"/>
        </w:rPr>
        <w:t xml:space="preserve"> </w:t>
      </w:r>
      <w:r>
        <w:rPr>
          <w:rFonts w:ascii="Arial" w:cs="Arial" w:eastAsia="Arial" w:hAnsi="Arial"/>
          <w:sz w:val="15"/>
          <w:szCs w:val="15"/>
          <w:color w:val="auto"/>
        </w:rPr>
        <w:t>accounts in a scalable manner. Our back-end management services include, among others, management of account, data, resource and growth.</w:t>
      </w:r>
    </w:p>
    <w:p>
      <w:pPr>
        <w:spacing w:after="0" w:line="100" w:lineRule="exact"/>
        <w:rPr>
          <w:rFonts w:ascii="Arial" w:cs="Arial" w:eastAsia="Arial" w:hAnsi="Arial"/>
          <w:sz w:val="15"/>
          <w:szCs w:val="15"/>
          <w:color w:val="auto"/>
        </w:rPr>
      </w:pPr>
    </w:p>
    <w:p>
      <w:pPr>
        <w:ind w:left="980" w:right="540" w:hanging="324"/>
        <w:spacing w:after="0" w:line="277" w:lineRule="auto"/>
        <w:tabs>
          <w:tab w:leader="none" w:pos="94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Traffic supports. </w:t>
      </w:r>
      <w:r>
        <w:rPr>
          <w:rFonts w:ascii="Arial" w:cs="Arial" w:eastAsia="Arial" w:hAnsi="Arial"/>
          <w:sz w:val="18"/>
          <w:szCs w:val="18"/>
          <w:color w:val="auto"/>
        </w:rPr>
        <w:t>We provide traffic distribution supports such as account recommendation, content recommendation and access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functions.</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Product services. </w:t>
      </w:r>
      <w:r>
        <w:rPr>
          <w:rFonts w:ascii="Arial" w:cs="Arial" w:eastAsia="Arial" w:hAnsi="Arial"/>
          <w:sz w:val="18"/>
          <w:szCs w:val="18"/>
          <w:color w:val="auto"/>
        </w:rPr>
        <w:t>We provide self-media with product solutions for better displaying and promotion of its account and content through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including information feeds, video feeds and users home page.</w:t>
      </w:r>
    </w:p>
    <w:p>
      <w:pPr>
        <w:spacing w:after="0" w:line="170"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Products for other app developers. </w:t>
      </w:r>
      <w:r>
        <w:rPr>
          <w:rFonts w:ascii="Arial" w:cs="Arial" w:eastAsia="Arial" w:hAnsi="Arial"/>
          <w:sz w:val="18"/>
          <w:szCs w:val="18"/>
          <w:color w:val="auto"/>
        </w:rPr>
        <w:t>Under user consent, our open application platform allows users to log into third-party applications with their</w:t>
      </w:r>
      <w:r>
        <w:rPr>
          <w:rFonts w:ascii="Arial" w:cs="Arial" w:eastAsia="Arial" w:hAnsi="Arial"/>
          <w:sz w:val="18"/>
          <w:szCs w:val="18"/>
          <w:i w:val="1"/>
          <w:iCs w:val="1"/>
          <w:color w:val="auto"/>
        </w:rPr>
        <w:t xml:space="preserve"> </w:t>
      </w:r>
      <w:r>
        <w:rPr>
          <w:rFonts w:ascii="Arial" w:cs="Arial" w:eastAsia="Arial" w:hAnsi="Arial"/>
          <w:sz w:val="18"/>
          <w:szCs w:val="18"/>
          <w:color w:val="auto"/>
        </w:rPr>
        <w:t>Weibo account, which enables sharing of third-party content on our platform. User privacy is strictly protected during the authorization to third-party applications, which only have access to user’s basic public information. This product helps mobile app developers to acquire users while helps Weibo to acquire shared content from other apps and platforms.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Weibo Wallet. </w:t>
      </w:r>
      <w:r>
        <w:rPr>
          <w:rFonts w:ascii="Arial" w:cs="Arial" w:eastAsia="Arial" w:hAnsi="Arial"/>
          <w:sz w:val="17"/>
          <w:szCs w:val="17"/>
          <w:color w:val="auto"/>
        </w:rPr>
        <w:t>Our Weibo wallet product enables platform partners to conduct interest generation activities on Weibo, such as handing out “red</w:t>
      </w:r>
      <w:r>
        <w:rPr>
          <w:rFonts w:ascii="Arial" w:cs="Arial" w:eastAsia="Arial" w:hAnsi="Arial"/>
          <w:sz w:val="17"/>
          <w:szCs w:val="17"/>
          <w:i w:val="1"/>
          <w:iCs w:val="1"/>
          <w:color w:val="auto"/>
        </w:rPr>
        <w:t xml:space="preserve"> </w:t>
      </w:r>
      <w:r>
        <w:rPr>
          <w:rFonts w:ascii="Arial" w:cs="Arial" w:eastAsia="Arial" w:hAnsi="Arial"/>
          <w:sz w:val="17"/>
          <w:szCs w:val="17"/>
          <w:color w:val="auto"/>
        </w:rPr>
        <w:t>envelops” and coupons to other users to build a bigger and more active fan base, and drive purchase conversion. Weibo wallet also enables individual users to purchase different types of products and services on Weibo, including those offered by us, such as marketing services and VIP membership, and those offered by our platform partners, such as e-commerce merchandises, financial products and virtual gifts.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Major Chinese internet companies, including Tencent, Baidu and Netease, as well as new players in China, who provide online media, including content aggregation and distribution services, compete directly with us for user traffic and user engagement, content, talent and marketing resources. As a media platform in nature, we also compete with offline media companies for audiences and content.</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addition, as a social media featuring social networking services and messenger features, we are subject to intense competition from providers of similar services as well as potentially new types of online services. These services include (i) messengers and other social apps and sites, such as Weixin/WeChat, QQ Mobile, Qzone Mobile and Momo; (ii) news apps and sites, such as those operated by other major internet companies, including Tencent, Baidu, NetEase, Sohu, Phoenix News Media and Bytedance; and (iii) multi-media (photo, short video, live streaming, etc.) apps, such as Momo, Kuaishou, YY, iQiyi, Tencent Video, Youku Tudou and Bytedance.</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also compete with both offline and online games for the time and money of gamers. We have begun to offer social commerce solutions to our customers that enable them to conduct e-commerce on our platform. Consequently, our offerings compete with e-commerce companies and online verticals that enable merchants to conduct e-commerce, including location-based services and online-to-offline services. In addition to direct competition, we face indirect competition from companies that sponsor or maintain high traffic volume websites or provide an initial point of entry for internet users, including but not limited to providers of search services, web browser and navigation pages, such as Baidu, UC Web and Qihoo360. We may also face increasing competition from global social media, social networking services and messengers, such as Snapchat, Instagram, Facebook, Youtube, WhatsApp, Twitter, Line, Kakao Talk and Snow. Some of our competitors may have substantially more cash, traffic, technical and other resources than we do. See “Item 3.D. Key Information—Risk Factors—Risks Relating to Our Business—If we are unable to compete effectively for user traffic or user engagement, our business and operating results may be materially and adversely affected.”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face significant competition for advertising and marketing spending. A substantial majority of our revenues is generated from the sale of advertising and marketing services. We compete against online and mobile businesses that offer such services, including Tencent, Baidu, Youku Tudou, Bytedance, Sohu, NetEase and Phoenix News Media. We also compete with internet companies that offer online-to-offline (O2O), purchase solutions and other performance-based advertising services and digital media tailored to industries including fast moving consumer goods, IT, automobile, entertainment and travel, such as Autohome, Bitauto, Meituan/Dianping, Ctrip and Focus Media. We also compete against traditional media outlets, such as television, radio and print, for advertising and marketing spending.</w:t>
      </w:r>
    </w:p>
    <w:p>
      <w:pPr>
        <w:spacing w:after="0" w:line="19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Some of our larger competitors have substantially broader product or service offerings and leverage their relationships based on other products or services to gain a larger share of advertising and marketing budgets. We believe that our ability to compete effectively for advertising and marketing spending depends upon many factors, including the size, composition and engagement of our user base, our advertisement targeting capabilities, market acceptance of our advertising and marketing services, our marketing and selling efforts, the return our customers receive from our advertising and marketing services and the strength and reputation of our brands. See “Item 3.D. Key Information—Risk Factors—Risks Relating to Our Business—If we are unable to compete effectively for advertising and marketing spending, our business and operating results may be materially and adversely affected.”</w:t>
      </w:r>
    </w:p>
    <w:p>
      <w:pPr>
        <w:spacing w:after="0" w:line="16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experience significant competition for highly skilled personnel, including management, engineers, designers and product managers. Our growth strategy depends in part on our ability to retain our existing personnel and add additional highly skilled employees. See “Item 3.D. Key Information—Risk Factors—Risks Relating to Our Business—Our business and growth could suffer if we are unable to hire and retain key personnel.”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is based on our proprietary technology, which supports our unified platform, scalable distributed storage and SIG recommendation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engine.</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Unified Platform</w:t>
      </w:r>
      <w:r>
        <w:rPr>
          <w:rFonts w:ascii="Arial" w:cs="Arial" w:eastAsia="Arial" w:hAnsi="Arial"/>
          <w:sz w:val="18"/>
          <w:szCs w:val="18"/>
          <w:color w:val="auto"/>
        </w:rPr>
        <w:t>. We have developed a unified, open platform that allows our users, customers and platform partners to access a vast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on Weibo from mobile devices, personal computers and other internet-enabled devices in real time. Our platform adopts service-oriented architecture that allows easy up-scaling and frequent upgrading of our products. Our platform is built on technologies that can process and analyze bulk data generated by millions of users instantaneously.</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Scalable Distributed Storage</w:t>
      </w:r>
      <w:r>
        <w:rPr>
          <w:rFonts w:ascii="Arial" w:cs="Arial" w:eastAsia="Arial" w:hAnsi="Arial"/>
          <w:sz w:val="18"/>
          <w:szCs w:val="18"/>
          <w:color w:val="auto"/>
        </w:rPr>
        <w:t>. Our proprietary model optimizes and facilitates efficient data storage by dividing data into different levels. This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storage model allows us to efficiently manage billions of pieces of data while storing data on ordinary servers that are easily scalable. In addition, our proprietary cloud platform and multimedia data content delivery network (CDN) access acceleration technology allow us to store the massive volume of multimedia data generated, viewed or shared on our platform every day. Our geographically distributed architecture enables fast access for users across the country.</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Social Interest Graph Recommendation Engine</w:t>
      </w:r>
      <w:r>
        <w:rPr>
          <w:rFonts w:ascii="Arial" w:cs="Arial" w:eastAsia="Arial" w:hAnsi="Arial"/>
          <w:sz w:val="18"/>
          <w:szCs w:val="18"/>
          <w:color w:val="auto"/>
        </w:rPr>
        <w:t>. We have developed a comprehensive database of our users’ social interest graphs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taking place on our platform. The SIGs are built based on user actions such as Post, Repost, Comment, Like and Follow, social relationships, and demographic data such as age, gender and geography. Our SIG recommendation engine allows us and our customers to push content to Weibo users that they are more likely to find interesting and relevant. We are continually refining our recommendation engine to improve the relevance of information we push to users to increase user stickiness. In addition, we believe that advertisements can gain greater relevance from social context and become part of the user experience rather than an interruption of it.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Video Platform. </w:t>
      </w:r>
      <w:r>
        <w:rPr>
          <w:rFonts w:ascii="Arial" w:cs="Arial" w:eastAsia="Arial" w:hAnsi="Arial"/>
          <w:sz w:val="16"/>
          <w:szCs w:val="16"/>
          <w:color w:val="auto"/>
        </w:rPr>
        <w:t>Our video platform supports media content in multiple formats. We have a large scale video processing system, which supports users</w:t>
      </w:r>
      <w:r>
        <w:rPr>
          <w:rFonts w:ascii="Arial" w:cs="Arial" w:eastAsia="Arial" w:hAnsi="Arial"/>
          <w:sz w:val="16"/>
          <w:szCs w:val="16"/>
          <w:i w:val="1"/>
          <w:iCs w:val="1"/>
          <w:color w:val="auto"/>
        </w:rPr>
        <w:t xml:space="preserve"> </w:t>
      </w:r>
      <w:r>
        <w:rPr>
          <w:rFonts w:ascii="Arial" w:cs="Arial" w:eastAsia="Arial" w:hAnsi="Arial"/>
          <w:sz w:val="16"/>
          <w:szCs w:val="16"/>
          <w:color w:val="auto"/>
        </w:rPr>
        <w:t>to upload videos effectively and provides high quality video sources to end users in complex networks. We utilize machine learning technologies to semantically understand videos uploaded to our platform, whereby we extract texts, basic features from videos to generate content labels, interest-based themes and video fingerprint information. We use these information to accelerate content review of the videos and distribution of the videos on our platform.</w:t>
      </w:r>
    </w:p>
    <w:p>
      <w:pPr>
        <w:spacing w:after="0" w:line="154"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Multi-media Live Streaming System. </w:t>
      </w:r>
      <w:r>
        <w:rPr>
          <w:rFonts w:ascii="Arial" w:cs="Arial" w:eastAsia="Arial" w:hAnsi="Arial"/>
          <w:sz w:val="16"/>
          <w:szCs w:val="16"/>
          <w:color w:val="auto"/>
        </w:rPr>
        <w:t>We have developed a smart dispatch system that links push streaming with node load balancing and optimal</w:t>
      </w:r>
      <w:r>
        <w:rPr>
          <w:rFonts w:ascii="Arial" w:cs="Arial" w:eastAsia="Arial" w:hAnsi="Arial"/>
          <w:sz w:val="16"/>
          <w:szCs w:val="16"/>
          <w:i w:val="1"/>
          <w:iCs w:val="1"/>
          <w:color w:val="auto"/>
        </w:rPr>
        <w:t xml:space="preserve"> </w:t>
      </w:r>
      <w:r>
        <w:rPr>
          <w:rFonts w:ascii="Arial" w:cs="Arial" w:eastAsia="Arial" w:hAnsi="Arial"/>
          <w:sz w:val="16"/>
          <w:szCs w:val="16"/>
          <w:color w:val="auto"/>
        </w:rPr>
        <w:t>path finding technologies, which adjusts video caches to adapt to different networks and ensures video quality and stability in live streaming.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maintain our own sales operations team. We transact business directly with key account customers or through third-party advertising agencies and with SMEs primarily through our own distribution network.</w:t>
      </w:r>
    </w:p>
    <w:p>
      <w:pPr>
        <w:spacing w:after="0" w:line="170"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Due to the expertise required to carry out an effective online marketing campaign, key accounts usually hire advertising agencies to handle their internet brand campaigns. These advertising agencies provide a broad spectrum of internet marketing and advertising services. Our sales team leverages Weibo’s unique position and advantages in social marketing to assist key account customers or their advertising agencies throughout their advertising campaign cycle, from designing advertisement campaigns and crafting advertisements in different formats to executing social marketing campaigns and providing analytical tracking.</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distribution network for SME customers includes local distributors throughout China. Our distributors provide numerous services, including identifying customers, collecting payments, assisting customers in setting up their accounts with us, and engaging in other marketing and educational services aimed at acquiring customers. We have relied on distributors for several reasons. Our SME customer base in China is geographically diverse and fragmented, located in different regions in China. Moreover, SMEs are generally less experienced with online advertising and marketing as compared to large companies and, therefore, benefit from the support provided by distributors. Distributors serve as an efficient channel for us to reach SME customers throughout China and collect payments from them. We require distributors to staff dedicated customer service representatives for our SME customers. We provide periodic training programs to our distributors to maintain the service quality of our distributors and strengthen our relationships with them. In addition, we also offer marketing services through our self-service platform on Weibo.</w:t>
      </w:r>
    </w:p>
    <w:p>
      <w:pPr>
        <w:spacing w:after="0" w:line="17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SINA acts as our agent in servicing our advertising and marketing clients. We have signed an agreement with SINA relating to these sales and marketing services. See “Item 7.B. Major Shareholders and Related Party Transactions—Related Party Transactions—Our Relationship with SINA—Sales and Marketing Services Agreement.” We will continue to offer integrated solutions to customers with both SINA’s and our advertising and marketing solutions. We believe that our advertising and marketing solutions are complementary to SINA’s.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that our position as a leading social media in China has given us widespread name recognition. We focus on continually improving the quality of our products and services to strengthen our brand, as we believe satisfied users and customers are more likely to recommend our products and services to others. While word of mouth has helped us, we also make selective use of advertising, promotions and special events to promote Weibo awareness and usage.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20" w:firstLine="648"/>
        <w:spacing w:after="0" w:line="288" w:lineRule="auto"/>
        <w:rPr>
          <w:sz w:val="20"/>
          <w:szCs w:val="20"/>
          <w:color w:val="auto"/>
        </w:rPr>
      </w:pPr>
      <w:r>
        <w:rPr>
          <w:rFonts w:ascii="Arial" w:cs="Arial" w:eastAsia="Arial" w:hAnsi="Arial"/>
          <w:sz w:val="16"/>
          <w:szCs w:val="16"/>
          <w:color w:val="auto"/>
        </w:rPr>
        <w:t>We rely on a combination of patent, copyright, trademark and trade secret laws and restrictions on disclosure to protect our intellectual property rights. We have registered 65 patents and applied for an additional 260 patents with the PRC State Intellectual Property Office. We have registered 180 software copyrights with the PRC National Copyright Administration. We have also registered domain names, including weibo.com, weibo.cn and</w:t>
      </w:r>
    </w:p>
    <w:p>
      <w:pPr>
        <w:ind w:left="60" w:right="440" w:hanging="44"/>
        <w:spacing w:after="0" w:line="264" w:lineRule="auto"/>
        <w:rPr>
          <w:sz w:val="20"/>
          <w:szCs w:val="20"/>
          <w:color w:val="auto"/>
        </w:rPr>
      </w:pPr>
      <w:r>
        <w:rPr>
          <w:rFonts w:ascii="Arial" w:cs="Arial" w:eastAsia="Arial" w:hAnsi="Arial"/>
          <w:sz w:val="18"/>
          <w:szCs w:val="18"/>
          <w:color w:val="auto"/>
        </w:rPr>
        <w:t xml:space="preserve">weibo.com.cn. We have obtained an exclusive, perpetual, worldwide and royalty-free license from SINA to use its </w:t>
      </w:r>
      <w:r>
        <w:rPr>
          <w:sz w:val="1"/>
          <w:szCs w:val="1"/>
          <w:color w:val="auto"/>
        </w:rPr>
        <w:drawing>
          <wp:inline distT="0" distB="0" distL="0" distR="0">
            <wp:extent cx="1715135" cy="1714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5135" cy="171450"/>
                    </a:xfrm>
                    <a:prstGeom prst="rect">
                      <a:avLst/>
                    </a:prstGeom>
                    <a:noFill/>
                    <a:ln>
                      <a:noFill/>
                    </a:ln>
                  </pic:spPr>
                </pic:pic>
              </a:graphicData>
            </a:graphic>
          </wp:inline>
        </w:drawing>
      </w:r>
      <w:r>
        <w:rPr>
          <w:rFonts w:ascii="Arial" w:cs="Arial" w:eastAsia="Arial" w:hAnsi="Arial"/>
          <w:sz w:val="18"/>
          <w:szCs w:val="18"/>
          <w:color w:val="auto"/>
        </w:rPr>
        <w:t xml:space="preserve"> trademarks.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particularly in foreign countries where the laws may not protect our proprietary rights as fully as in the United States. From time to time, we may have to resort to litigation to enforce our intellectual property rights, which could result in substantial costs and diversion of our resources.</w:t>
      </w:r>
    </w:p>
    <w:p>
      <w:pPr>
        <w:spacing w:after="0" w:line="15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In addition, even if we are able to license the infringed or similar technology, license fees could be substantial and may adversely affect our results of operations. See “Item 3.D. Key Information—Risk Factors—Risks Relating to Our Business—We may not be able to adequately protect our intellectual property, which could cause us to be less competitive” and “—We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Weibo has experienced seasonality in its online advertising business. Historically, advertising spending tends to be the lowest in the first quarter of each calendar year due to long holidays around the Lunar New Year. Past performance may not be indicative of future trends, as the mix of advertising industry sectors, which may have different seasonality factors, may shift from quarter to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description of PRC laws and regulations is based upon the opinion of TransAsia Lawyers, our PRC counsel. For a description of legal risks relating to our ownership structure and business, see “Item 3.D. Key Information—Risk Factors.”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Microblogs</w:t>
      </w:r>
    </w:p>
    <w:p>
      <w:pPr>
        <w:spacing w:after="0" w:line="22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Rules on the Administration of Microblog Development, issued by the Beijing Municipal Government in 2011, stipulate that users who post publicly on microblogs are required to disclose their real identity to the microblogging service provider, though they may still use pen names on their accounts. Microblogging service providers are required to verify the identities of their users. In addition, microblogging service providers based in Beijing were required to verify the identities of all of their users by March 16, 2012, including existing users who post publicly on their websites.</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Cyber Security Law, issued by the Standing Committee of the National People’s Congress on November 7, 2016, which came into effect on June 1, 2017,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166"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Cyberspace Administration of China, or the CAC, released the Provisions on the Administration of Microblog Information Services, or the Microblogs Provisions, on February 2, 2018, which came into effect on March 20, 2018. The Provisions for Microblogs provide the principal responsibilities of the microblog service providers, including, among other matters, authentication of true identity information; tiered and categorized management; rumor-dispelling mechanisms; industry self-discipline; social supervision; and administrative management. The Microblogs Provisions further require microblog service providers to establish complete and comprehensive systems for registering users; verifying published information; managing posts, comments, and emergency responses; and providing education and training for practitioners; as well as implement a “chief editor system.” Additionally, the Microblogs Provisions require microblog service providers to set up sound rumor-dispelling mechanisms, whereby it shall take the initiative to refute rumors when it finds that any microblog service user publishes or spreads any rumor or untruthful information. Furthermore, if new technology is adopted or if any update is made to add an application or function which enable discussion of news or social mobilization capabilities, it shall be reported to the local CAC office of the relevant province, autonomous region or municipality directly under the State Council for security assessment.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On November 15, 2018, the CAC and the Ministry of Public Security jointly promulgated the Provisions on the Security Assessment of Internet Information Services Capable of Creating Public Opinions or Social Mobilization, which categorizes microblogging services as type of “internet information services capable of creating public opinions or social mobilization.” As a result, a microblogging service provider is required to conduct security assessments and submit reports to the local cyberspace authority and public security bureau through the National Internet Security Management Service Platform.</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order to comply with the abovementioned rules, we have added additional clauses into the agreements between the users of our microblog service and us requesting our microblog users to register using their real names.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Advertisements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PRC government regulates advertising, including online advertising, principally through State Administration for Market Regulation, or the SAMR, formerly the State Administration for Industry and Commerce. Since 2005, the State Administration for Industry and Commerce has exempted most enterprises (other than radio stations, television stations, newspapers and magazines, non-corporate entities and entities specified in other regulations) that engage in advertising business from the requirement of holding an operating license for advertising in addition to a relevant business license. We conduct our online advertising business through Weimeng, which holds a business license that covers online advertising in its scope of business.</w:t>
      </w:r>
    </w:p>
    <w:p>
      <w:pPr>
        <w:spacing w:after="0" w:line="15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Advertisers, advertising operators and advertising distributors are required by PRC advertising laws and regulations to ensure that the content of the advertisements they produce or distribute are true and in full compliance with applicable laws and regulations. In addition, where a special government review is required for certain categories of advertisements before publishing, advertisers, advertising operators and advertising distributors are obligated to confirm that such review has been duly performed and that the relevant approval has been obtained. Violations of these regulations may result in penalties, including fines, confiscation of advertising income, orders to cease dissemination of the advertisements and orders to publish an advertisement correcting the misleading information. For serious violations, the SAMR or its local branches may order the violator to terminate its advertising operations or even revoke its business license. Furthermore, advertisers, advertising operators or advertising distributors may be subject to civil liabilities if they infringe on the legal rights and interests of third parties.</w:t>
      </w:r>
    </w:p>
    <w:p>
      <w:pPr>
        <w:spacing w:after="0" w:line="1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April 24, 2015, the Standing Committee of the National People’s Congress issued the PRC Advertising Law or the Advertising Law, which came into effect on September 1, 2015 and was amended on October 26, 2018. The Advertising Law applies to all advertising activities conducted via the internet. The Advertising Law requires that users must be able to close online pop-up ads with one click. Moreover, internet service providers are obligated to cease publishing any advertisements that they know or should know are illegal. Violation of these regulations may result in penalties, including fines, confiscation of the advertising incomes, termination of advertising operations and even suspension of the provider’s business license.</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July 8, 2016, the State Administration for Industry and Commerce issued the Interim Measures for the Administration of Internet Advertising, or the Interim Measures, which became effective on September 1, 2016. The Interim Measures clarify that “Internet Advertisements” means commercial advertisements that promote commodities or services directly or indirectly via Internet media such as websites, webpages and Internet application programs in the form of texts, pictures, audio, video or other forms. The Interim Measures also impose a number of new requirements on Internet advertisers. For example, the Interim Measures state that paid search advertisements should be clearly distinguished from ordinary search results. In addition, consistent with the Advertising Law, the Interim Measures require that advertisements published on Internet pages in the form of pop-ups or other similar forms shall be clearly marked with a “Close” button to ensure “one click to close.” The measures also prohibit unfair competition in internet advertisement publishing, including (i) providing or using any programs or hardware to intercept or filter any legally operated advertisements of other persons; and (ii) using network pathways, network equipment or applications to disrupt the normal data transmission of advertisements, alter or block legally operated advertisements of other persons or load advertisements without authorization. Violation of these regulations may result in fine of up to RMB30,000, with any punishments administrated by the Administrative Authority for Industry and Commerce in the place where the advertisement publisher is located.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 comply with these laws and regulations, we include clauses in all of our advertising contracts requiring that all advertising content provided by advertisers or advertising agencies must comply with the relevant laws and regulations.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Value-Added Telecommunications Services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Telecommunications Regulations, promulgated by the State Council in 2000, and were subsequently revised in 2014 and 2016 respectively, draw a distinction between “basic telecommunication services” and “value-added telecommunication services.” Internet content provision services is a subcategory of value-added telecommunications services. On December 25 2015, the MIIT published the Classification Catalogue of Telecommunications Services (the 2015 Catalogue), which took effect on March 1, 2016. The first catalogue was published in September 2000 and was subsequently amended in 2001 and 2003 respectively. Under the 2015 Catalogue, the “value-added telecommunication services” was further classified into two sub-categories and 10 items. Internet content provision services, or ICP services, is under the second subcategory of value-added telecommunications businesses. Under the Telecom Regulations, commercial operators of value-added telecommunications services must first obtain an operating license from the MIIT or its provincial level counterparts.</w:t>
      </w:r>
    </w:p>
    <w:p>
      <w:pPr>
        <w:spacing w:after="0" w:line="19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State Council issued the Administrative Measures on Internet Information Services concurrently with the Telecommunications Regulations in 2000 to regulate internet content provision services, which was subsequently amended on January 8, 2011. According to these measures, commercial internet content provision service operators must obtain an Internet Content Provision License from the relevant government authorities before engaging in any commercial internet content provision operations within the PRC. These measures further stipulate that entities providing internet content provision services regarding news, publishing, education, medicine, health, pharmaceuticals and medical equipment must procure the approval of the national government authorities responsible for such areas prior to applying for an operating license from the relevant government authorities.</w:t>
      </w:r>
    </w:p>
    <w:p>
      <w:pPr>
        <w:spacing w:after="0" w:line="1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Administrative Measures on Telecommunications Business Operating Licenses, promulgated by the MIIT in 2001 and revised in 2009 and 2017, set forth the types of licenses required to operate value-added telecommunications services and the qualifications and procedures for obtaining such licenses. For example, an information service operator providing value-added services in multiple provinces is required to obtain an inter-regional license, whereas an information services operator providing the same services in one province is required to obtain a local license.</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To comply with these PRC laws and regulations, Weimeng holds an Internet Content Provision License issued by the Beijing Telecommunications Administration. In addition, Weimeng also holds an inter-regional Value-Added Telecommunications Services Operating License for provision of value-added telecommunication services nationwide.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Restrictions on Foreign Ownership in Value-Added Telecommunications Services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According to the Provisions on Administration of Foreign Invested Telecommunications Enterprises, promulgated by the State Council in 2001 and amended in 2008 and 2016, respectively, the ultimate foreign equity ownership in a value-added telecommunications service provider must not exceed 50%. Moreover, for a foreign investor to acquire any equity interest in a value-added telecommunications business in China, it must demonstrate a good track record and experience in operating value-added telecommunications services. Foreign investors that meet these requirements must obtain approvals from the MIIT and the Ministry of Commerce or their authorized local branches. Due to the limitation of foreign investment in value-added telecommunications services companies that provide internet information services, we would be prohibited from acquiring any equity interest in Weimeng. In addition, we believe that our contractual arrangements with Weimeng and its individual shareholders provide us with sufficient and effective control over Weimeng. Accordingly, we currently do not plan to acquire any equity interest in Weimeng.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Notice of the MIIT on Intensifying the Administration of Foreign Investment in Value-added Telecommunications Services, issued in 2006, prohibits domestic telecommunications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Either the holder of a value-added telecommunications business operating license or its shareholders must legally own the domain names and trademarks used by such license holder in providing value-added telecommunications services. The notice further requires each license holder to have the necessary facilities, including servers, for its approved business operations and to maintain such facilities in the regions covered by its license. In addition, all value-added telecommunications service providers are required to maintain network and internet security in accordance with the standards set forth in the relevant PRC regulations. If a license holder fails to comply with the requirements in the notice and cure such non-compliance, the MIIT or its local counterparts have the discretion to take measures against such license holders, including revoking their value-added telecommunications business operating licenses.</w:t>
      </w:r>
    </w:p>
    <w:p>
      <w:pPr>
        <w:spacing w:after="0" w:line="19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March 13, 2019, the National People’s Congress promulgated the PRC Foreign Investment Law, effective January 1, 2020 and replacing a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Foreign Investment Law references pre-establishment national treatment along with a negative industry list for foreign investment. The negative list will be issued by the State Council and list industry sectors prohibited to foreign investment. According to the Special Administrative Measures for Access of Foreign Investment (Negative List) (2018 Edition) issued in June 28, 2018, the ultimate foreign equity ownership of a value-added telecommunications service provider in the PRC may not exceed 50%.</w:t>
      </w:r>
    </w:p>
    <w:p>
      <w:pPr>
        <w:spacing w:after="0" w:line="19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To comply with these PRC regulations, we operate our platform through Weimeng. Weimeng is currently owned by four individuals, Z. Cao, W. Zheng, Y. Liu, and W. Wang, all of whom are PRC citizens. Weimeng holds an Internet Content Provision License and a Bulletin Board Service Permit. Weimeng owns the domain names related to its operations and our platform (weibo.com, weibo.cn, and weibo.com.cn), while the trademarks relating to our operations are held by Weibo Technology and SINA’s subsidiaries. Due to the fact that trademarks owned by SINA’s subsidiaries contain SINA’s Chinese name or logo, such trademarks cannot be transferred to us. However, each of SINA’s subsidiaries has granted an exclusive license to Weimeng for its use of such trademarks. If the relevant PRC government authorities determine in the future that the current ownership of our trademarks do not comply with the relevant regulations and the trademarks relating to our operations must be held by Weimeng, we may need to transfer these trademarks to Weimeng, which could severely disrupt our business.</w:t>
      </w:r>
    </w:p>
    <w:p>
      <w:pPr>
        <w:spacing w:after="0" w:line="17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despite these precautions, the PRC government determines that we do not comply with applicable laws and regulations, it can revoke our business and operating licenses, require us to discontinue or restrict our operations, restrict our right to collect revenues, block our platform, require us to restructure our operations, including possibly the establishment or restructuring of a foreign-invested telecommunications enterprise, re-application for the necessary licenses, or relocation of our businesses, staff and assets, impose additional conditions or requirements with which we may not be able to comply, or take other regulatory or enforcement actions against us. See “Item 3.D. Key Information—Risk Factors—Risks Relating to Our Corporate Structure—If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Internet Content Services</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National security considerations are an important factor in the regulation of internet content in China. The National People’s Congress has enacted laws with respect to maintaining the security of internet operations and internet content. According to these laws, as well as the Administrative Measures on Internet Information Services, violators may be subject to penalties, including criminal sanctions, for internet content that:</w:t>
      </w:r>
    </w:p>
    <w:p>
      <w:pPr>
        <w:spacing w:after="0" w:line="166" w:lineRule="exact"/>
        <w:rPr>
          <w:sz w:val="20"/>
          <w:szCs w:val="20"/>
          <w:color w:val="auto"/>
        </w:rPr>
      </w:pPr>
    </w:p>
    <w:p>
      <w:pPr>
        <w:jc w:val="right"/>
        <w:ind w:left="5620" w:right="5620" w:hanging="4964"/>
        <w:spacing w:after="0" w:line="624" w:lineRule="auto"/>
        <w:tabs>
          <w:tab w:leader="none" w:pos="941"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opposes the fundamental principles stated in the PRC Constitution;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compromises national security, divulges state secrets, subverts state power or damages national unity;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undermines the PRC’s religious policy or propagates superstition;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disseminates obscenity or pornography, encourages gambling, violence, murder or fear or incites the commission of a crime;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insults or slanders a third party or infringes upon the lawful rights and interests of a third party;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otherwise prohibited by law or administrative regulations.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Internet content provision service operators are required to monitor their websites. They may not post or disseminate any content that falls within these prohibited categories and must remove any such content from their websites. The PRC government may shut down the websites of Internet Content Provision License holders that violate any of the above-mentioned content restrictions, order them to suspend their operations, or revoke their Internet Content Provision Licenses.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February 4, 2015, the CAC promulgated the Administrative Provisions on Account Names of Internet Users, or the Account Names Provisions, which became effective as of March 1, 2015. The Account Name Provisions require internet service providers to authenticate registered users’ identity information and to commit to complying with the “seven basic requirements,” including, among other things, observing the laws and regulations, protecting state interests, as well as ensuring the authenticity of any information they provide. Relevant internet information service providers are responsible for protecting users’ privacy, the consistency between user information, such as account names, avatars, and the requirements set forth in the Account Names Provisions, making reports to the competent authorities regarding any violation of the Account Names Provisions, and taking appropriate measures to stop any such violations, such as, notifying the user to make corrections within a specified time and suspending or closing accounts in the event of continuing non-compliance.</w:t>
      </w:r>
    </w:p>
    <w:p>
      <w:pPr>
        <w:spacing w:after="0" w:line="19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August 25, 2017, the CAC promulgated the Administrative Provisions on Internet Follow-up Comment Services, which became effective as of October 1, 2017. It provides that services related to following-up on or responding to online comments must also strictly verify the identification information of registered users, establish and improve a user information protection system, establish and improve an Internet follow-up comment review and administration system for real-time monitoring of user comments, and emergency responses, among other things.</w:t>
      </w:r>
    </w:p>
    <w:p>
      <w:pPr>
        <w:spacing w:after="0" w:line="17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August 25, 2017, the CAC promulgated the Administrative Provisions on Internet Forum and Community Services, which became effective as of October 1, 2017. It provides that Internet forum and community service providers must assume primary responsibility for establishing and improving real-time information verification, emergency response capabilities, and personal information protections as well as other information security administration systems to institute preventative safety measures with employed professionals and necessary technical support for performing these duties.</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September 7, 2017, the CAC promulgated the Provisions on the Administration of Information Services Provided through Chat Groups on the Internet, which became effective as of October 8, 2017. It requires that providers verify the identification information of users of information services through Internet chat groups and take necessary measures to protect user safety and personal information.</w:t>
      </w:r>
    </w:p>
    <w:p>
      <w:pPr>
        <w:spacing w:after="0" w:line="18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September 7, 2017, the CAC promulgated the Administrative Provisions on the Information Services Provided through Official Accounts of Internet Users, which became effective as of October 8, 2017. It requires that providers review user information such as account information and qualifications for and scope of services, categorize users, and file such information with the local cyberspace administrator; and further establish a database with respect to registered persons, published content, the number of people subscribing to a given account, and the number of people reading the relevant articles published by the official user accounts, and implement specific management systems for official user accounts to be filed with the Cyberspace Administration.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To comply with these PRC laws and regulations, we have adopted internal procedures to monitor content displayed on our platform, including a team of employees dedicated to screening and monitoring content uploaded on our platform and removing inappropriate or infringing content.</w:t>
      </w:r>
    </w:p>
    <w:p>
      <w:pPr>
        <w:spacing w:after="0" w:line="12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To the extent that PRC regulatory authorities find any content displayed on or through our platform objectionable, they may require us to limit or eliminate the dissemination or availability of such content on our platform or impose penalties, including the revocation of our operating licenses or the suspension or shutdown of our online operations. In addition, the costs of compliance with these regulations may increase as the volume of content and number of users on our website increase. See “Item 3.D. Key Information—Risk Factors—Risks Relating to Doing Business in China—Regulation and censorship of information disseminated over the internet in China may adversely affect our business and subject us to liability for information displayed on our platform.”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Information Security</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Internet content in China is also regulated and restricted from a state security point of view. The Decision Regarding the Safeguarding of Internet Security, enacted by the Standing Committee of the National People’s Congress and amended in 2009, makes it unlawful to: (i) gain improper entry into a computer or system of strategic importance; (ii) disseminate politically disruptive information; (iii) leak state secrets; (iv) spread false commercial information; or (v) infringe intellectual property rights.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Administrative Measures for the Security Protection of International Connections to Computer Information Network, promulgated by the Ministry of Public Security in 1997 and amended in 2011, prohibit the use of the internet in ways that, among other things, result in a leakage of state secrets or the distribution of socially destabilizing content. Socially destabilizing content includes any content that incites defiance or violations of PRC laws or regulations or subversion of the PRC government or its political system, spreads socially disruptive rumors or involves cult activities, superstition, obscenities, pornography, gambling or violence. State secrets are defined broadly to include information concerning PRC’s national defense affairs, state affairs and other matters as determined by the PRC authorities.</w:t>
      </w:r>
    </w:p>
    <w:p>
      <w:pPr>
        <w:spacing w:after="0" w:line="19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Provisions on Technological Measures for Internet Security Protection, promulgated by the Ministry of Public Security in 2006, require all internet content provision operators to keep records of certain information about their users (including user registration information, log-in and log-out times, IP addresses, content and time of posts by users) for at least 60 days and submit the above information as required by laws and regulations. Internet content provision operators must regularly update information security systems for their websites with local public security authorities, and must also report any instances of public dissemination of prohibited content. If an internet content provision operator violates these measures, the PRC government may revoke its Internet Content Provision License and shut down its websites.</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addition, the State Secrecy Bureau has issued provisions authorizing the blocking of access to any website it deems to be leaking state secrets or failing to comply with the relevant legislation regarding the protection of state secrets.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July 1, 2015, the Standing Committee of the National People’s Congress issued the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 the requirements of a classified protection system for cyber security, including appointing dedicated cyber security personnel, taking technical measures to prevent computer viruses, network attacks and intrusions, taking technical measures to monitor and record network operation status and cyber 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 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livelihoods, or the public interest. Specific reference is made to key sectors such as public communication and information services, energy, transportation, water-resources, finance, public services and e-government. A prior draft of the Cyber Security Law included reference to any networks with a large number of users, but this language was deleted in the final version of the law.</w:t>
      </w:r>
    </w:p>
    <w:p>
      <w:pPr>
        <w:spacing w:after="0" w:line="16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March 15, 2019, the CAC and the SAMR jointly issued the Notice on App Security Certification and the Implementation Rules on Security Certification of Mobile Internet Application, which encourages mobile application operators to voluntarily obtain app security certification, and search engines and app stores are encouraged to recommend certified applications to users. The institution designated for this certification is the China Cybersecurity Review Technology and Certification Center, or the CCRC. CCRC has the right to appoint testing agencies to inspect technical capabilities and business operations for the certification.</w:t>
      </w:r>
    </w:p>
    <w:p>
      <w:pPr>
        <w:spacing w:after="0" w:line="18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Because Weimeng is an internet content provision operator, we are subject to laws and regulations relating to information security. To comply with these laws and regulations, Weimeng has completed the mandatory security filing procedures with local public security authorities. We regularly update our information security and content-filtering systems based on any newly issued content restrictions, and maintain records of user information as required by relevant laws and regulations. We have also taken measures to delete or remove links to content that, to our knowledge, contains information that violates PRC laws and regulations.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despite the precautions, we fail to identify and prevent illegal or inappropriate content from being displayed on or through our platform, we may be subject to liability. In addition, these laws and regulations are subject to interpretation by the relevant authorities, and it may not be possible to determine in all cases what content could result in liability. To the extent that PRC regulatory authorities find any content displayed on or through our platform objectionable, they may require us to limit or eliminate the dissemination or availability of such content or impose penalties, including the revocation of our operating licenses or the suspension or shutdown of our online operations. In addition, the costs of compliance with these regulations may increase as the volume of content and users on our website increase. See “Item 3.D. Key Information—Risk Factors—Risks Relating to Doing Business in China— Regulation and censorship of information disseminated over the internet in China may adversely affect our business and subject us to liability for information displayed on our platform.”</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Internet Privacy</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recent years, PRC government authorities have enacted legislation on internet use to protect personal information from any unauthorized disclosure. PRC law does not prohibit internet content provision operators from collecting and analyzing personal information from their users. However, the Administrative Measures on Internet Information Services prohibit an internet content provision operator from insulting or slandering a third party or infringing the lawful rights and interests of a third party. Pursuant to the Administrative Measures on Internet Electronic Messenger Services, internet content provision operators that provide electronic messenger services must keep users’ personal information confidential and must not disclose such personal information to any third party without the users’ consent unless required by law. The regulations further authorize the relevant telecommunications authorities to order internet content provision operators to rectify any unauthorized disclosure. Internet content provision operators are subject to legal liability if the unauthorized disclosure results in damages or losses to users. The PRC government, however, has the power and authority to order internet content provision operators to turn over personal information if an internet user posts any prohibited content or engages in illegal activities on the internet.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Several Provisions on Regulating the Market Order of Internet Information Services, promulgated by the MIIT and effective in 2012, stipulate that internet content provision operators must not, without user consent, collect user personal information, which is defined as user information that can be used alone or in combination with other information to identify the user, and may not provide any such information to third parties without prior user consent. Internet content provision operators may only collect user personal information necessary to provide their services and must expressly inform the users of the method, content and purpose of the collection and processing of such user personal information. In addition, an internet content provision operator may only use such user personal information for the stated purposes under the internet content provision operator’s scope of service. Internet content provision operators are also required to ensure the proper security of user personal information, and take immediate remedial measures if user personal information is suspected to have been disclosed. If the consequences of any such disclosure are expected to be serious, ICP operators must immediately report the incident to the telecommunications regulatory authority and cooperate with the authorities in their investigations.</w:t>
      </w:r>
    </w:p>
    <w:p>
      <w:pPr>
        <w:spacing w:after="0" w:line="16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December 28, 2012, the Standing Committee of the National People’s Congress issued the Decision on Strengthening the Protection of Online Information. Most requirements under the decision that are relevant to internet content provision operators are consistent with the requirements already established under the MIIT provisions mentioned above, though often more strict and broad. Under the decision, if an internet content provision operator wishes to collect or use personal electronic information, it must do so in a legal and appropriate manner, and may do so only if it is necessary for the services it provides. It must disclose the purpose, method and scope of any such collection or use, and must seek consent from the relevant individuals. Internet content provision operators are also required to publish their policies relating to information collection and use, must keep such information strictly confidential, and must take technological and other measures to ensure the safety of such information. Internet content provision operators are further prohibited from divulging, distorting or destroying of any such personal electronic information, or selling or proving such information to other parties. The decision also requires that internet content provision operators providing information publishing services must collect from users their personal identification information, for registration. In very broad terms, the decision provides that violators may face warnings, fines, confiscation of illegal gains, license revocations, filing cancellations and website closures.</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July 16, 2013, the MIIT issued the Order for the Protection of Telecommunication and Internet User Personal Information. Most requirements under the order that are relevant to internet content provision operators are consistent with pre-existing requirements but the requirements under the order are often more stringent and have a wider scope. If an internet content provision operator wishes to collect or use personal information, it may do so only if such collection is necessary for the services it provides. Further, it must disclose to its users the purpose, method and scope of any such collection or use, and must obtain consent from its users whose information is being collected or used. Internet content provision operators are also required to establish and publish their rules relating to personal information collection or use, keep any collected information strictly confidential, and take technological and other measures to maintain the security of such information. Internet content provision operators are required to cease any collection or use of the user personal information, and de-register the relevant user account, when a given user stops using the relevant internet service. Internet content provision operators are further prohibited from divulging, distorting or destroying any such personal information, or selling or providing such information unlawfully to other parties. In addition, if an internet content provision operator appoints an agent to undertake any marketing and technical services that involve the collection or use of personal information, the internet content provision operator is still required to supervise and manage the protection of the information. As to penalties, in very broad terms, the order states that violators may face warnings, fines, and disclosure to the public and, in most severe cases, criminal liability.</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November 7, 2016, the Standing Committee of the National People’s Congress issued the Cyber Security Law, which came into effect on June 1, 2017. The Cyber Security Law imposes certain data protection obligations on network operators, including that network operators may not disclose, tamper with, or damage users’ personal information that they have collected, and are obligated to delete unlawfully collected information and to amend incorrect information. Moreover, internet operators may not provide users’ personal information to others without consent. Exempted from these rules is information irreversibly processed to preclude identification of specific individuals. Also, the Cyber Security Law imposes breach notification requirements that will apply to breaches involving personal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Following Cyber Security Law, the State Administration for Quality Supervision and Inspection and Quarantine (now incorporated into SAMR) and China National Standardization Management Committee issued the Personal Information Security Standard on December 29, 2017. These standards supplement and refine the Cyber Security Law in many aspects while further subdividing personal information into general information and sensitive information. Sensitive information, including without limitation, ID number, bank account, property information, transaction information, must be collected with explicit, specific, distinct and clear user consent on a fully informed basis.</w:t>
      </w:r>
    </w:p>
    <w:p>
      <w:pPr>
        <w:spacing w:after="0" w:line="18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On January 23, 2019, the Office of the Central Cyberspace Affairs Commission, MIIT, and the Ministry of Public Security and SAMR jointly issued the Notice on Special Governance of Illegal Collection and Use of Personal Information via APP, which restates the legal collection and use of personal information, encourages APP operators to conduct security certifications and search engines and APP stores to clearly mark and recommend certified APPs.</w:t>
      </w:r>
    </w:p>
    <w:p>
      <w:pPr>
        <w:spacing w:after="0" w:line="14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To comply with these laws and regulations, we require our users to accept terms of services under which they agree to provide certain personal information to us, to have established information security systems protect user privacy and to have such information filed with the MIIT or its local branch as required. If Weimeng, which is an internet content provision operator, violates PRC laws in this regard, the MIIT or its local bureau may impose penalties and Weimeng may be liable for damages caused to their users. See “Item 3.D. Key Information—Risk Factors—Risks Relating to Our Business—Privacy concerns relating to our products and services and the use of user information could damage our reputation, deter current and potential users and customers from using Weibo and negatively impact our business.”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May 25, 2018, EU Directive 95/46/EEC was replaced by the GDPR on the protection of natural persons with regard to the processing of personal data and on the free movement of such data. The GDPR applies directly in all European Union member states from May 25, 2018 and applies to companies with an establishment in the European Economic Area, or the EEA, and to certain other companies not in the EEA that offer or provide goods or services to individuals located in the EEA or monitor individuals located in the EEA. The GDPR implements more stringent operational requirements for controllers of personal data, including, for example, expanded disclosures about how personal information is to be used, limitations on retention of information and pseudonymized data, increased cyber security requirements, mandatory data breach notification requirements and higher standards for controllers to demonstrate that they have obtained a valid legal basis for certain data processing activities.</w:t>
      </w:r>
    </w:p>
    <w:p>
      <w:pPr>
        <w:spacing w:after="0" w:line="178" w:lineRule="exact"/>
        <w:rPr>
          <w:sz w:val="20"/>
          <w:szCs w:val="20"/>
          <w:color w:val="auto"/>
        </w:rPr>
      </w:pPr>
    </w:p>
    <w:p>
      <w:pPr>
        <w:ind w:right="380" w:firstLine="648"/>
        <w:spacing w:after="0" w:line="297" w:lineRule="auto"/>
        <w:rPr>
          <w:sz w:val="20"/>
          <w:szCs w:val="20"/>
          <w:color w:val="auto"/>
        </w:rPr>
      </w:pPr>
      <w:r>
        <w:rPr>
          <w:rFonts w:ascii="Arial" w:cs="Arial" w:eastAsia="Arial" w:hAnsi="Arial"/>
          <w:sz w:val="16"/>
          <w:szCs w:val="16"/>
          <w:color w:val="auto"/>
        </w:rPr>
        <w:t>The activities of data processors will be regulated for the first time, and companies undertaking processing activities are required to offer certain guarantees in relation to the security of such processing and the handling of personal data. Contracts with data processors will also need to be updated to include certain terms prescribed by the GDPR, and negotiating such updates may not be fully successful in all cases. Failure to comply with EU laws, including failure under the GDPR and other laws relating to the security of personal data may result in fines up to €20,000,000 or up to 4% of the total worldwide annual turnover of the preceding financial year, if greater, and other administrative penalties including criminal liability.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Online Game Operations and Cultural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Cultural Products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Provisional Regulations for the Administration of Online Culture, issued by the Ministry of Culture in 2003 and further revised in 2004, 2011 and 2017, apply to entities engaging in activities related to “internet cultural products,” which include cultural products that are produced specifically for internet use, such as online music and entertainment, online games, online plays, online performances, online works of art and Web animation, and other online cultural products that through technical means, produce or reproduce music, entertainment, games, plays and other art works for internet dissemination. According to these Regulations, commercial entities are required to apply to the relevant local branch of the Ministry of Culture for an Online Culture Operating Permit if they engage in the production, duplication, importation, release or broadcasting of internet cultural products; the dissemination of online cultural products on the internet or the transmission of such products via internet or mobile phone networks to user terminals, such as computers, phones, television sets and gaming consoles, or internet surfing service sites such as internet cafes; or the holding or exhibition of contests related to internet cultural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The Administrative Measures for Content Self-review by Internet Culture Business Entities, which were issued by the Ministry of Culture on August 12, 2013, and took effect on December 1, 2013, require internet culture business entities to review the content of products and services before providing them to the public. The content management system of an internet culture business entity is required to specify the responsibilities, standards and processes for content review as well as accountability measures, and is required be filed with the local provincial branch of the Ministry of Culture.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Internet Publication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Rules for the Administration of Electronic Publications, which were issued by the General Administration of Press and Publication in 2008 and further amended in 2015, regulate the production, publishing and importation of electronic publications in the PRC and outline a licensing system for business operations involving electronic publishing. Under these rules and other regulations issued by the General Administration of Press and Publication, online games are classified as a type of electronic production and publishing of online games is required to be done by licensed electronic publishing entities with standard publication codes. If a PRC company is contractually authorized to publish foreign electronic publications, it must obtain the approval of, and register the copyright license contract with, the State Administration for Press, Publication, Radio, Film and Television, which was formed when the General Administration of Press and Publication was combined with the State Administration for Radio, Film and Television in March 2013.</w:t>
      </w:r>
    </w:p>
    <w:p>
      <w:pPr>
        <w:spacing w:after="0" w:line="16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Administrative Provisions on Online Publishing Services, or the Provisions, which were jointly issued by the MIIT and the State General Administration of Press, Publication, Radio, Film and Television in 2016, and took effect on March 10, 2016. The Provisions define “online publishing services” as providing online publications to the public through information networks. Any online publishing services provided in the territory of the PRC is subject to the Provisions. The Provisions requires any internet publishing services provider to obtain an online publishing service license to engage in online publishing services. Under the Provisions, online publications refer to digital works which have publishing features such as having been edited, produced or processed and which are made available to the public through information networks, including written works, pictures, maps, games, cartoons, audio/video reading materials and others. Any online game shall obtain approval from SAPPRFT before it is launched online. Further, Sino-foreign equity joint ventures, Sino-foreign cooperative joint ventures and wholly foreign-owned enterprises cannot engage in providing web publishing services.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According to the Circular of the Ministry of Culture on Strengthening the Examination of Content of Online Games Products issued by the Ministry of Culture in 2004, the content of any foreign online game products should be examined and approved by the Ministry of Culture before they are operated within China. Entities engaged in developing and operating domestic online games products should register with the Ministry of Culture.</w:t>
      </w:r>
    </w:p>
    <w:p>
      <w:pPr>
        <w:spacing w:after="0" w:line="166"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Circular of the Ministry of Culture on Improving and Strengthening the Examination of Content of Online Games, issued by the Ministry of Culture in 2009, strictly prohibits offensive promotion and advertisement of online games, games propagating eroticism and gambling and violence, and requires game operators to obtain prior approval from the Ministry of Culture before operating any online games.</w:t>
      </w:r>
    </w:p>
    <w:p>
      <w:pPr>
        <w:spacing w:after="0" w:line="16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Notice Regarding the Consistent Implementation of the “Stipulations on ‘Three Provisions’ of the State Council and the Relevant Interpretations of the State Commission Office for Public Sector Reform and the Further Strengthening of the Administration of Pre-examination and Approval of Internet Games and the Examination and Approval of Imported Internet Games”, also known as Circular 13, was jointly published by the General Administration of Press and Publication, the National Copyright Administration and the National Office of Combating Pornography and Illegal Publications in 2009. Circular 13 expressly states that foreign investors are not permitted to participate in the operation of online games via wholly owned, equity joint venture or cooperative joint venture investments in China, and from controlling and participating in such businesses directly or indirectly through contractual or technical support arrangements. In addition, according to Circular 13, the approval of the General Administration of Press and Publication is required for publishing any imported online games. Although Circular 13 was issued several years ago, it is not yet clear what impact, if any, it will have on the operation of online games in China.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Interim Measures for Administration of Online Games, promulgated by the Ministry of Culture in 2010 and revised in 2017, reiterate that any online games operator should obtain an Online Culture Operating Permit to engage in online game services. In addition, the content of any imported online games should be examined and approved by the Ministry of Culture before they are operated within China, and any domestic online game must be registered with the Ministry of Culture within 30 days after its launch.</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a result of the various regulations described above, commercial entities are required to apply to the relevant local branch of the Ministry of Culture for an Online Culture Operating Permit to provide online games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Virtual Currency</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Notice on the Reinforcement of the Administration of Internet Cafes and Online Games, jointly issued by the Ministry of Culture, the People’s Bank of China and other government authorities in 2007, directs the People’s Bank of China to strengthen the administration of virtual currency in online games to avoid any adverse impact on the real economic and financial systems. This notice provides that the total amount of virtual currency issued by online game operators and the amount purchased by individual users should be strictly limited, with a strict and clear division between virtual transactions and real e-commerce transactions. This notice also provides that virtual currency should only be used to purchase virtual items.</w:t>
      </w:r>
    </w:p>
    <w:p>
      <w:pPr>
        <w:spacing w:after="0" w:line="15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Notice on the Strengthening of Administration on Online Game Virtual Currency, jointly issued by the Ministry of Culture and the Ministry of Commerce in 2009, broadly defined virtual currency as a type of virtual exchange instrument issued by internet game operation enterprises, purchased directly or indirectly by the game user by exchanging legal currency at a certain exchange rate, saved outside the game programs, stored in servers provided by the internet game operation enterprises in electronic record format and represented by specific numeric units. Virtual currency is used to exchange internet game services provided by the issuing enterprise for a designated extent and time, and is represented by several forms, such as online prepaid game cards, prepaid amounts or internet game points, and does not include game props obtained from playing online games. In 2009, the Ministry of Culture further promulgated the Filing Guidelines on Online Game Virtual Currency Issuing Enterprises and Online Game Virtual Currency Trading Enterprises, which specifically defines “issuing enterprise” and “trading enterprise” and stipulates that a single enterprise may not operate both types of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Protection of Minors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2007, the General Administration of Press and Publication and several other governmental authorities issued a circular requiring the implementation of an “anti-fatigue system” and a real-name registration system by all PRC online game operators, in an effort to curb addictive online game play behaviors of minors. Under the anti-fatigue system, three hours or less of continuous play by minors is considered to be “healthy,” three to five hours to be “fatiguing,” and five hours or more to be “unhealthy.” Game operators are required to reduce the value of in-game benefits to a game player by half if the game player has reached “fatiguing” level, and to zero in the case of “unhealthy” level.</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Notice on Initializing the Verification of Real-name Registration for Anti-Fatigue System on Internet Games, issued by the General Administration of Press and Publication, the MIIT, the Ministry of Education and five other governmental authorities in 2011, imposes stringent penalties on online game operators that do not implement the required anti-fatigue and real-name registration measures properly and effectively. Its main focus is to prevent minors from using an adult ID to play internet games. The operation of an online game may be terminated if the operator is found to be in violation of this notice.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Implementation of Online Game Monitoring System of the Guardians of Minors, a circular jointly issued by the Ministry of Culture, the MIIT and six other central government authorities in 2011, aimed to provide specific protective measures to monitor the online game activities of minors and curb addictive online game play behavior by minors. Under this circular, online game operators are required to adopt various measures to maintain a system to communicate with the parents or other guardians of minors playing online games and online game operators are required to monitor the online game activities of minors, and must suspend the account of a minor if so requested by the minor’s parents or guardians. The monitoring system was formally implemented on March 1, 2011.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Work Plan for the Integrated Prevention of Minors’ Online Game Addiction, jointly issued by the General Administration of Press and Publication, the Ministry of Education, the Ministry of Culture, the MIIT and 11 other PRC government authorities on February 5, 2013, implemented integrated measures by different authorities to prevent minors from becoming addicted to online games. Under the work plan, the current relevant regulations regarding online games will be further clarified and additional implementation rules will be issued, and as a result, online game operators will be required to implement additional measures to protect minors.</w:t>
      </w:r>
    </w:p>
    <w:p>
      <w:pPr>
        <w:spacing w:after="0" w:line="18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Weimeng currently holds an Online Culture Operating License with a business scope encompassing the “issuance of virtual currency” and the “operation of game products” issued by the Ministry of Culture in July 2011, which was renewed on November 30 2017 and is valid through December 30, 2020. Weimeng is in the process of applying for an internet publishing permit. We have adopted our own anti-fatigue and real name registration systems.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Broadcasting Audio/Video Programs through the Internet</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December 20, 2007, the State Administration for Radio, Film and Television and the MIIT jointly issued the Rules for the Administration of Internet Audio and Video Program Services, commonly known as Circular 56, which came into effect as of January 31, 2008 and was later amended in 2015. Circular 56 reiterates the requirement set forth in the earlier rules that online audio/video service providers must obtain an internet audio/video program transmission license from the State Administration for Radio, Film and Television. Furthermore, Circular 56 requires all online audio/video service providers to be either wholly state-owned or state-controlled companies. According to relevant official answers to press questions published on the website of State Administration for Radio, Film and Television on February 3, 2008, officials from the State Administration for Radio, Film and Television and the MIIT clarified that online audio/video service providers that already had been operating lawfully prior to the issuance of Circular 56 may re-register and continue to operate without becoming state-owned or controlled, provided that such providers have not engaged in any unlawful activities. This exemption will not be granted to online audio/video service providers established after Circular 56 was issued. These policies have been reflected in the Application Procedure for Audio/Video Program Transmission License. Failure to obtain the internet audio/video program transmission license may subject an online audio/video service provider to various penalties, including fines of up to RMB30,000, seizure of related equipment and servers used primarily for such activities and even suspension of its online audio/video services.</w:t>
      </w:r>
    </w:p>
    <w:p>
      <w:pPr>
        <w:spacing w:after="0" w:line="18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On December 16, 2016, the State Administration of Press, Publication, Radio, Film and Television of the PRC (SAPPRFT) issued the Rules for the Administration of Video and Audio Programs on Weibo, WeChat and other Social Media Platforms, or Circular 196. Circular 196 requires that any organizations that provide online streaming through social media platforms such as Weibo or WeChat should obtain an internet audio/video program transmission license. For organizations and individuals that do not hold license, the hosting social networking platform shall be responsible for supervising the content of the posted programs, and the scope of the programs must not exceed the scope stated on the platform’s audio/video program transmission license. Similarly, film and TV dramas broadcasted through social media are required to obtain a license for public airing, and social media platforms are not allowed to repost user-generated video or audio programs featuring political news.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Producing Audio/Video Programs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July 19, 2004, the SARFT promulgated the Administrative Measures on the Production and Operation of Radio and Television Programs, effective as of August 20, 2004 and amended in 2015. These Measures provide that anyone who wishes to produce or operate radio or television programs must first obtain an operating permit. Applicants for this permit must meet several criteria, including having a minimum registered capital of RMB3.0 million. Weimeng holds a permit for radio and television program production and operation, with a permitted scope encompassing production of animated programs, features programs and television entertainment programs, which is in the process of obtaining a renewal.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Online Live-streaming Services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On November 4, 2016, the CAC promulgated the Regulations on the Administration of Online Live-streaming Services, or the Online Live-streaming Regulations, which became effective on December 1,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Online Live-streaming Regulations provides that online live-streaming service providers and distributors must legally obtain the qualification for internet news information services before providing such services on the internet, and engage in online news information services to the licensed extent. Online live-streaming service providers must review all live internet news information and interactions before publishing them, and set up their “chief editor” position if they provide live-streaming services of internet news information. The Online Live-streaming Regulations also stipulate that online live-streaming service providers must carry out their subject responsibility, arrange professionals commensurate with its service size, establish and improve various management systems, and have the technical capability to immediately cut online live-streaming, and its technical plans shall comply with relevant national standards. In addition, online live-streaming service providers must conduct graded and categorized management according to the content category and user scale of online live-streaming, and establish a credit rating management system for online live-streaming distributors as well as a blacklist management system.</w:t>
      </w:r>
    </w:p>
    <w:p>
      <w:pPr>
        <w:spacing w:after="0" w:line="19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December 2, 2016, the Ministry of Culture issued the Administrative Measures for Business Activities of Online Performances, which took effect on January 1, 2017, and provide that the online performances must not involve six types of content, such as “those infringing upon others’ legitimate rights and interests by taking candid photographs or using a hidden recorder.” Entities engaging in online performances must require and verify the registration of performers with their own valid IDs and real names. Moreover, the Measures stress that entities engaging in online performances must improve their own user registration systems, maintain the information provided by users for registration, and take active actions to safeguard the safety of users’ information.</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August 1, 2018, the CAC and the other five PRC governmental authorities jointly issued the Circular on Tightening the Administration of Online Live-streaming Services, or the Online Live-streaming Services Circular, which specifies respective duties of online live-streaming service providers, network access service providers and application stores, aiming to prompt relevant internet-based enterprises to fulfill their responsibilities. The Online Live-streaming Services Circular provides that an online live-streaming service provider must make a record filing with the competent telecommunications authority as an internet content provider (ICP). Online live-streaming service providers are also required to apply for a permit with the local authorities if it engages in telecommunications business, livestreaming business for internet news information, online performance, and/or online visual-audio programs. Online live-streaming service providers must make record filings with the local public security authorities within 30 days after live-streaming services have been published on the internet. In addition, online live-streaming service providers are required to implement real name verification system for users, intensify administration of online anchors, establish blacklist system for online anchors, optimize the system of watching and censoring livestreamed content for regulatory purposes, and improve measures to better respond to harmful content.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Online Music</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November 20, 2006, the Ministry of Culture issued Several Suggestions of the Ministry of Culture on the Development and Administration of Internet Music, which became effective immediately upon its issuance. These suggestions, among other things, reiterate the requirement for an internet service provider to obtain an internet culture business permit to carry out any business relating to internet music products. In addition, foreign investors are prohibited from operating internet culture businesses. However, the laws and regulations on internet music products are still evolving, and there have not been any provisions stipulating whether or how music videos will be regulated by these suggestions.</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August 18, 2009, the Ministry of Culture promulgated the Notice on Strengthening and Improving the Content Review of Online Music. According to this notice, only “internet culture operating entities” approved by the Ministry of Culture may engage in the production, release, dissemination (including providing direct links to music products) and importation of online music products. On October 23, 2015, the Ministry of Culture promulgated the Circular on Further Strengthening and Improving the Administration of Content of Online Music, which became effective on January 1, 2016 According to the Circular, the content of online music shall be reviewed by or filed with the Ministry of Culture. Internet culture operating entities should establish a strict self-monitoring system of online music content and set up a special department in charge of such monitoring. Weimeng has obtained an Online Culture Operating Permit, the scope of which covers online music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Internet News Dissemination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April 28, 2015, the CAC issued the Provisions on the Questioning Procedures for Internet News Service Providers, or the Provisions. The Provisions provide the CAC and its local branches with a formal procedure for bringing in key personnel from internet news service providers for questioning as well as giving oral warnings, identifying problems and ordering rectifications in certain circumstances specified in the Provisions such as the failure to deal with illegitimate information in a timely fashion and when circumstances are severe. If the CAC or its local branches orders an internet news service provider to rectify a problem through the questioning procedures and it fails to do so, then the internet new service provider may be subject to administrative action including a written warning, fine, temporary suspension of operations or the revocation of licenses. Internet news service providers are also subject to enhanced penalties for several violations under the questioning procedures. Additionally, the CAC and its local branches may publicize information related to the questioning procedures that it conducted against internet news service providers under the Provisions. The Provisions took effect on June 1, 2015.</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May 2, 2017, the CAC issued the Administrative Provisions for Internet News Information Services, or the New Provisions, which became effective on June 1, 2017. The New Provisions replace the Provisions for the Administration of Internet News Information Services promulgated by the SCIO and the MII in 2015, and are intended to help solidify the CAC’s jurisdiction over internet news information services. The New Provisions require that internet websites, apps, forums, blogs, microblogs, official accounts, instant messaging tools, and network-based broadcasts that provides internet news information services obtain a permit for internet news information services. The New Provisions also broaden the scope of internet news information services to include (i) services of collecting, editing, and releasing internet news information; (ii) reposting such news information; and (iii) providing a platform to spread such news information. To apply for such a permit, the applicant must satisfy requirements set forth under the New Provisions, such as that it be a legal entity established in China and that its principal or chief editor be a Chinese citizen. In addition, all internet news providers are explicitly required to review and self-censor the content published by them and to take measures to cease transmission and remove content if inappropriate content is discovered, as well as maintain relevant records and report such matters to the competent regulators.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Weimeng currently provides a platform for our users to post news, current topics and social events and has not obtained an internet news publication license. However, if the relevant government authorities determine that the services provided by Weimeng are internet news dissemination services and an internet news publication license for such services is needed, we may need to apply for the permit for internet news information services. Weimeng may not successfully obtain such permit in a timely manner or at all.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Mapping Services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Under the Surveying and Mapping Law promulgated by the National People’s Congress in 1992 and amended in 2002 and 2017, entities engaged in surveying and mapping services should obtain a surveying and mapping qualification certificate and comply with the state’s surveying and mapping criteria. According to the amended Administrative Rules of Surveying Qualification Certificate and the amended Standard for Surveying Qualification Certificate issued by the former National Administration of Surveying, Mapping and Geo-information, or NASMG in August 2014 and July 2014, respectively, non-surveying and mapping enterprise is subject to the approval of the NASMG and requires a surveying and mapping qualification certificate to provide internet mapping services.</w:t>
      </w:r>
    </w:p>
    <w:p>
      <w:pPr>
        <w:spacing w:after="0" w:line="19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November 26, 2015, the State Council enacted the Administrative Regulations on Maps, or the Maps Regulations, effective as of January 1, 2016. The Maps Regulations requires entities engaging in internet mapping services, such as geographic positioning, the uploading of geographic information or markings, and the development of a public map database, to obtain a relevant qualification certificate for surveying and mapping. The Maps Regulations require entities engaging in online map services to use mapping data approved by the relevant governmental authorities, host servers storing map data within the PRC, and establish a management system as well as protection measures for the data security of the online maps. The mapping data must not contain any content prohibited by the Maps Regulations, and no entities or individuals are allowed to upload or mark such prohibited content online. Further, entities engaging in internet mapping services shall keep confidential any information involving state secrets and trade secrets acquired during their work.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Weimeng holds a surveying and mapping qualification certificate issued by the NASMG, which is valid till December 31,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Intellectual Property Rights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trademarks, patents and copyrights. China is a signatory to the major international conventions on intellectual property rights and became a member of the Agreement on Trade Related Aspects of Intellectual Property Rights upon its accession to the World Trade Organization in December 2001.</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Patent</w:t>
      </w:r>
      <w:r>
        <w:rPr>
          <w:rFonts w:ascii="Arial" w:cs="Arial" w:eastAsia="Arial" w:hAnsi="Arial"/>
          <w:sz w:val="16"/>
          <w:szCs w:val="16"/>
          <w:color w:val="auto"/>
        </w:rPr>
        <w:t>. The Patent Law was adopted in 1984 and amended in 1992, 2000 and 2008. The purpose of the Patent Law is to protect lawful interests of</w:t>
      </w:r>
      <w:r>
        <w:rPr>
          <w:rFonts w:ascii="Arial" w:cs="Arial" w:eastAsia="Arial" w:hAnsi="Arial"/>
          <w:sz w:val="16"/>
          <w:szCs w:val="16"/>
          <w:i w:val="1"/>
          <w:iCs w:val="1"/>
          <w:color w:val="auto"/>
        </w:rPr>
        <w:t xml:space="preserve"> </w:t>
      </w:r>
      <w:r>
        <w:rPr>
          <w:rFonts w:ascii="Arial" w:cs="Arial" w:eastAsia="Arial" w:hAnsi="Arial"/>
          <w:sz w:val="16"/>
          <w:szCs w:val="16"/>
          <w:color w:val="auto"/>
        </w:rPr>
        <w:t>patent holders, encourage invention, foster applications of invention, enhance innovative capabilities and promote the development of science and technology. To be patentable, invention or utility models must meet three conditions: novelty, inventiveness and practical applicability. Patents cannot be granted for scientific discoveries, rules and methods for intellectual activities, methods used to diagnose or treat diseases, animal and plant breeds, substances obtained by means of nuclear transformation or a design which has major marking effect on the patterns or colors of graphic print products or a combination of both patterns and colors. The Patent Office under the State Intellectual Property Office is responsible for receiving, examining and approving patent applications. A patent is valid for a term of twenty years in the case of an invention and a term of ten years in the case of utility models and designs. A third-party user must obtain consent or a proper license from the patent owner to use the patent. Otherwise, the use constitutes an infringement of patent rights.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registered 65 patents and applied for 260 patents with the State Intellectual Property Office as of March 31, 2019.</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Copyright</w:t>
      </w:r>
      <w:r>
        <w:rPr>
          <w:rFonts w:ascii="Arial" w:cs="Arial" w:eastAsia="Arial" w:hAnsi="Arial"/>
          <w:sz w:val="18"/>
          <w:szCs w:val="18"/>
          <w:color w:val="auto"/>
        </w:rPr>
        <w:t>. The Copyright Law was adopted in 1990 and amended in 2001 and 2010. The amended Copyright Law extends copyright protection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activities, products disseminated over the internet and software products. In addition, there is a voluntary registration system administered by the China Copyright Protection Center. The amended Copyright Law also requires registration of a copyright pledge.</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According to the Copyright Law, an infringer will be subject to various civil liabilities, which include stopping the infringement, eliminating the damages, apologizing to the copyright owners and compensating the losses of copyright owners. The Copyright Law further provides that the infringer must compensate the actual loss suffered by the copyright owner. If the actual loss of the copyright owner is difficult to calculate, the illegal income received by the infringer as a result of the infringement will be deemed as the actual loss or if such illegal income is also difficult to calculate, the court can decide the amount of the actual loss up to RMB500,000.</w:t>
      </w:r>
    </w:p>
    <w:p>
      <w:pPr>
        <w:spacing w:after="0" w:line="188" w:lineRule="exact"/>
        <w:rPr>
          <w:sz w:val="20"/>
          <w:szCs w:val="20"/>
          <w:color w:val="auto"/>
        </w:rPr>
      </w:pPr>
    </w:p>
    <w:p>
      <w:pPr>
        <w:ind w:right="1080" w:firstLine="648"/>
        <w:spacing w:after="0" w:line="342" w:lineRule="auto"/>
        <w:rPr>
          <w:sz w:val="20"/>
          <w:szCs w:val="20"/>
          <w:color w:val="auto"/>
        </w:rPr>
      </w:pPr>
      <w:r>
        <w:rPr>
          <w:rFonts w:ascii="Arial" w:cs="Arial" w:eastAsia="Arial" w:hAnsi="Arial"/>
          <w:sz w:val="16"/>
          <w:szCs w:val="16"/>
          <w:color w:val="auto"/>
        </w:rPr>
        <w:t>To address the problem of copyright infringement related to the content posted or transmitted over the internet, the National Copyright Administration and the MIIT jointly promulgated the Measures for Administrative Protection of Copyright Related to the Internet in 2005.</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Protection of the Right of Communication through Information Networks was promulgated by the State Council in 2006 and amended in 2013. Under this regulation, with respect to any information storage space, search or link services provided by an internet service provider, if the legitimate right owner believes that the works, performance or audio or video recordings pertaining to that service infringe his or her rights of communication, the right owner may give the internet service provider a written notice containing the relevant information along with preliminary materials proving that an infringement has occurred, and requesting that the internet service provider delete, or disconnect the links to, such works or recordings. The right owner will be responsible for the truthfulness of the content of the notice. Upon receipt of the notice, the internet service provider must delete or disconnect the links to the infringing content immediately and forward the notice to the user that provided the infringing works or recordings. If the written notice cannot be sent to the user due to the unknown IP address, the contents of the notice shall be publicized via information networks. If the user believes that the subject works or recordings have not infringed others’ rights, the user may submit to the internet service provider a written explanation with preliminary materials proving non-infringement, and a request for the restoration of the deleted works or recordings. The internet service provider should then immediately restore the deleted or disconnected content and forward the user’s written statement to the right owner.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Under the Torts Liability Law, which became effective in 2010, both internet users and internet service providers may be liable for the wrongful acts of users who infringe the lawful rights of other parties. If an internet user utilizes internet services to commit a tortious act, the party whose rights are infringed may request the internet service provider to take measures, such as removing or blocking the content, or disabling the links thereto, to prevent or stop the infringement. If the internet service provider does not take necessary measures after receiving such notice, it shall be jointly liable for any further damages suffered by the rights holder. Furthermore, if an internet service provider fails to take necessary measures when it knows that an internet user utilizes its internet services to infringe the lawful rights and interests of other parties, it shall be jointly liable with the internet user for damages resulting from the infringement.</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To address issues related to the hearing of civil disputes concerning the infringement of the right of communication through information networks, the PRC Supreme People’s Court issued the Provisions on Several Issues Concerning the Application of Law in Hearings of Civil Dispute Cases on the Infringement of Information Networking Transmission Rights, which took effect as of January 1, 2013. This document provides more detailed guidance as to the circumstances in which the provision by network users or network service providers of other’s works, performances, and audio or video products without permission from the rights owner constitutes infringement of information network transmission rights. This document provides that internet service providers will be jointly liable if they assist in infringing activities or fail to remove infringing content from their websites once they know of the infringement or receive notice from the rights holder. This document also provides that where a network service provider obtains economic advantage directly from the works, performances, and sound or visual recordings provided by the network service provider, it must pay close attention to infringement of network information transmission rights by network users.</w:t>
      </w:r>
    </w:p>
    <w:p>
      <w:pPr>
        <w:spacing w:after="0" w:line="18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order to further implement the Computer Software Protection Regulations promulgated by the State Council on December 20, 2001 and amended on January 30, 2013, the National Copyright Administration of the PRC issued Computer Software Copyright Registration Procedures on February 20, 2002, which apply to software copyright registration, license contract registration and transfer contract registration.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compliance with, and in order to take advantage of, the above rules, we have registered 180 software copyrights as of March 31, 2019.</w:t>
      </w:r>
    </w:p>
    <w:p>
      <w:pPr>
        <w:spacing w:after="0" w:line="23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Trademark</w:t>
      </w:r>
      <w:r>
        <w:rPr>
          <w:rFonts w:ascii="Arial" w:cs="Arial" w:eastAsia="Arial" w:hAnsi="Arial"/>
          <w:sz w:val="16"/>
          <w:szCs w:val="16"/>
          <w:color w:val="auto"/>
        </w:rPr>
        <w:t>. The Trademark Law, adopted in 1982 and revised in 1993, 2001 and 2013, protects registered trademarks. The Trademark Law has</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a “first-to-file” principle with respect to trademark registration. Where a trademark for which a registration has been made is identical or similar to another trademark that has already been registered or been subject to a preliminary examination and approval for use on the same kind of or similar commodities or services, the application for registration of such trademark may be rejected. Any person applying for the registration of a trademark must not prejudice the existing right of others obtained by priority, nor may any person register in advance a trademark that has already been used by another person and has already gained a “sufficient degree of reputation” through that person’s use. After receiving an application, the Trademark Office, which is under the State Administration for Industry and Commerce and handles trademark registration affairs in China, will make a public announcement if the relevant trademark passes the preliminary examination. Within three months after such public announcement, any person may file an objection against a trademark that has passed a preliminary examination. The PRC Trademark Office’s decisions on rejection, objection or cancellation of an application may be appealed to the PRC Trademark Review and Adjudication Board, whose decision may be further appealed through judicial proceedings. If no objection is filed within three months after the public announcement period or if the objection has been overruled, the PRC Trademark Office will approve the registration and issue a registration certificate, at which point the trademark is deemed to be registered and will be effective for a renewable ten-year period, unless otherwise declared invalid or revoked. The licensor shall file the trademark licensing with the Trademark Office for record. The licensing of a trademark that has not</w:t>
      </w:r>
    </w:p>
    <w:p>
      <w:pPr>
        <w:spacing w:after="0" w:line="3"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been filed for record may not be used against a bona fide third party. “</w:t>
      </w:r>
      <w:r>
        <w:rPr>
          <w:sz w:val="1"/>
          <w:szCs w:val="1"/>
          <w:color w:val="auto"/>
        </w:rPr>
        <w:drawing>
          <wp:inline distT="0" distB="0" distL="0" distR="0">
            <wp:extent cx="403225" cy="9461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and “</w:t>
      </w:r>
      <w:r>
        <w:rPr>
          <w:sz w:val="1"/>
          <w:szCs w:val="1"/>
          <w:color w:val="auto"/>
        </w:rPr>
        <w:drawing>
          <wp:inline distT="0" distB="0" distL="0" distR="0">
            <wp:extent cx="300355" cy="1117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0355" cy="111760"/>
                    </a:xfrm>
                    <a:prstGeom prst="rect">
                      <a:avLst/>
                    </a:prstGeom>
                    <a:noFill/>
                    <a:ln>
                      <a:noFill/>
                    </a:ln>
                  </pic:spPr>
                </pic:pic>
              </a:graphicData>
            </a:graphic>
          </wp:inline>
        </w:drawing>
      </w:r>
      <w:r>
        <w:rPr>
          <w:rFonts w:ascii="Arial" w:cs="Arial" w:eastAsia="Arial" w:hAnsi="Arial"/>
          <w:sz w:val="18"/>
          <w:szCs w:val="18"/>
          <w:color w:val="auto"/>
        </w:rPr>
        <w:t>” are registered trademarks of SINA’s subsidiaries in China and are exclusively licensed to us for use.</w:t>
      </w:r>
    </w:p>
    <w:p>
      <w:pPr>
        <w:spacing w:after="0" w:line="17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Domain Names</w:t>
      </w:r>
      <w:r>
        <w:rPr>
          <w:rFonts w:ascii="Arial" w:cs="Arial" w:eastAsia="Arial" w:hAnsi="Arial"/>
          <w:sz w:val="16"/>
          <w:szCs w:val="16"/>
          <w:color w:val="auto"/>
        </w:rPr>
        <w:t>. In 2002, the CNNIC issued the Implementing Rules for Domain Name Registration setting forth detailed rules for registration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domain names, as amended in 2009 and 2012. According to these rules, any natural person or organization that can bear independently its own civil responsibilities has the right to apply for the domain registration under the top level domain names, such as “.cn” and “. ”. On August 24, 2017, the MIIT promulgated the Measures for Administration of Domain Names to replace the Measures for Administration of Domain Names for the Chinese Internet. These measures regulate the registration of domain names, such as the first tier domain name “.cn”. On September 1, 2014, the CNNIC issued the Measures on Domain Name Dispute Resolution to replace the CNNIC Measures on Domain Names Dispute Resolution pursuant to which the CNNIC can authorize a domain name dispute resolution institution to decide disputes. We have registered domain names including weibo.com, weibo.cn, and weibo.com.cn.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i w:val="1"/>
          <w:iCs w:val="1"/>
          <w:color w:val="auto"/>
        </w:rPr>
        <w:t>Anti-unfair Competition</w:t>
      </w:r>
      <w:r>
        <w:rPr>
          <w:rFonts w:ascii="Arial" w:cs="Arial" w:eastAsia="Arial" w:hAnsi="Arial"/>
          <w:sz w:val="18"/>
          <w:szCs w:val="18"/>
          <w:color w:val="auto"/>
        </w:rPr>
        <w:t>. Under the Anti-Unfair Competition Law, effective in 1993 and revised in 2017, a business operator is prohibited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out acts intending to cause confusion, which would mislead others into thinking that its products belong to another party or that there is an association with another party, by:</w:t>
      </w:r>
    </w:p>
    <w:p>
      <w:pPr>
        <w:spacing w:after="0" w:line="181" w:lineRule="exact"/>
        <w:rPr>
          <w:sz w:val="20"/>
          <w:szCs w:val="20"/>
          <w:color w:val="auto"/>
        </w:rPr>
      </w:pPr>
    </w:p>
    <w:p>
      <w:pPr>
        <w:ind w:left="980" w:right="260" w:hanging="324"/>
        <w:spacing w:after="0" w:line="277"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using without permission, a mark that is identical with or similar to product names, packaging or decoration of others with a certain degree of influence;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using without permission, the name of an enterprise, a social organization or an individual with a certain degree of influence;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using without permission, the main element of a domain name, website name or webpage with a certain degree of influence;</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carrying out confusing acts that are intended to mislead others into thinking that a product belongs to another party or there is an affiliation with another party.</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See “Item 3.D. Key Information—Risk factors—Risks Relating to Our Business—We may not be able to adequately protect our intellectual property, which could cause us to be less competitive.”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Under the 2008 Foreign Currency Administration Rules, if documents certifying the purposes of the conversion of RMB into foreign currency are submitted to the relevant foreign exchange conversion bank, the RMB will be convertible for current account items, including the distribution of dividends, interest and royalties payments, and trade and service-related foreign exchange transactions. Conversion of RMB for capital account items, such as direct investment, loans, securities investment and repatriation of investment, however, is subject to the approval of SAFE or its local counterparts.</w:t>
      </w:r>
    </w:p>
    <w:p>
      <w:pPr>
        <w:spacing w:after="0" w:line="154" w:lineRule="exact"/>
        <w:rPr>
          <w:sz w:val="20"/>
          <w:szCs w:val="20"/>
          <w:color w:val="auto"/>
        </w:rPr>
      </w:pPr>
    </w:p>
    <w:p>
      <w:pPr>
        <w:ind w:right="360" w:firstLine="648"/>
        <w:spacing w:after="0" w:line="276" w:lineRule="auto"/>
        <w:rPr>
          <w:sz w:val="20"/>
          <w:szCs w:val="20"/>
          <w:color w:val="auto"/>
        </w:rPr>
      </w:pPr>
      <w:r>
        <w:rPr>
          <w:rFonts w:ascii="Arial" w:cs="Arial" w:eastAsia="Arial" w:hAnsi="Arial"/>
          <w:sz w:val="17"/>
          <w:szCs w:val="17"/>
          <w:color w:val="auto"/>
        </w:rPr>
        <w:t>Under the 1996 Administration Rules of the Settlement, Sale and Payment of Foreign Exchange, foreign-invested enterprises may only buy, sell and/or remit foreign currencies at banks authorized to conduct foreign exchange business after providing valid commercial documents and, in the case of capital account item transactions, obtaining approval from SAFE or its local counterparts. Capital investments by PRC entities outside of China, after obtaining the required approvals from the relevant approval authorities, such as the Ministry of Commerce and the National Development and Reform Commission or their local counterparts, are also required to register with SAFE or its local counterparts.</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SAFE promulgated a circular on November 19, 2010, or Circular No. 59, which tightens the examination on the authenticity of settlement of net proceeds from an offering and requires that the settlement of net proceeds shall be in accordance with the description in its prospectus. On March 30, 2015, the SAFE issued the Circular on Reform of the Administrative Rules of the Payment and Settlement of Foreign Exchange Capital of Foreign-Invested Enterprises, or SAFE Circular 19, which became effective on June 1, 2015. Pursuant to SAFE Circular 19, foreign-invested enterprises may either continue to follow the current payment-based foreign currency settlement system or elect to follow the “conversion-at-will” regime of foreign currency settlement. Where a foreign-invested enterprise follows the conversion-at-will regime of foreign currency settlement, it may convert part or all of the amount of the foreign currency in its capital account into Renminbi at any time. The converted Renminbi will be kept in a designated account labeled as settled but pending payment, and if the foreign-invested enterprise needs to make payment from such designated account, it still needs to go through the review process with its bank and provide necessary supporting documents. SAFE Circular 19, therefore, has substantially lifted the restrictions on the usage by a foreign-invested enterprise of its RMB registered capital converted from foreign currencies. According to SAFE Circular 19, such Renminbi capital may be used at the discretion of the foreign-invested enterprise and the SAFE will eliminate the prior approval requirement and only examine the authenticity of the declared usage afterwards. Nevertheless, foreign-invested enterprises like our PRC subsidiary are still not allowed to extend intercompany loans to our PRC consolidated entities. In addition, as Circular 19 was promulgated recently, there remain substantial uncertainties with respect to the interpretation and implementation of this circular by relevant authorities.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utilizing the proceeds, we received from our offerings or debt financings, as an offshore holding company with a PRC subsidiary, we may (i) make additional capital contributions to our PRC subsidiary, (ii) establish new PRC subsidiaries and make capital contributions to these new PRC subsidiaries,</w:t>
      </w:r>
    </w:p>
    <w:p>
      <w:pPr>
        <w:ind w:right="200" w:firstLine="8"/>
        <w:spacing w:after="0" w:line="255" w:lineRule="auto"/>
        <w:tabs>
          <w:tab w:leader="none" w:pos="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loans to our PRC subsidiaries, or (iv) acquire offshore entities with business operations in China in offshore transactions. However, most of these uses are subject to PRC regulations and/or approvals, For example, loans by us to our PRC subsidiaries, which are foreign-invested enterprises, to finance their activities cannot exceed statutory limits and must be registered with SAFE or its local branches.</w:t>
      </w:r>
    </w:p>
    <w:p>
      <w:pPr>
        <w:spacing w:after="0" w:line="19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See “Item 3.D. Key Information—Risk Factors—Risks Relating to Doing Business in China—PRC regulations of loans to PRC entities and direct investment in PRC entities by offshore holding companies may delay or prevent us from using offshore funds to make loans or additional capital contributions to our PRC subsidiary.”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Employee Stock Options Plans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2006, the People’s Bank of China promulgated the Administrative Measures of Foreign Exchange Matters for Individuals, setting forth the respective requirements for foreign exchange transactions by individuals (both PRC and non-PRC citizens) under either the current account or the capital account. SAFE issued implementing rules for these measures in 2007 that specified approval requirements for certain capital account transactions, such as a PRC citizen’s participation in employee stock ownership plans or share option plans of an overseas publicly listed company. In 2007, SAFE promulgated the Application Procedures of Foreign Exchange Administration for Domestic Individuals Participating in Employee Stock Ownership Plans or Stock Option Plans of Overseas Listed Companies. In 2012, SAFE promulgated the Notice on the Administration of Foreign Exchange Matters for Domestic Individuals Participating in the Stock Incentive Plans of Overseas Listed Companies to replace the former procedures. The new notice simplifies the requirements and procedures for the registration of stock incentive plan participants, especially with respect to the required application documents and the absence of strict requirements on offshore and onshore custodian banks, as were stipulated in the former procedures. The purpose of both the former procedures and the new notice is to regulate the foreign exchange administration of PRC resident individuals who participate in employee stock holding plans or share option plans of overseas listed companies.</w:t>
      </w:r>
    </w:p>
    <w:p>
      <w:pPr>
        <w:spacing w:after="0" w:line="18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Under these rules, for PRC resident individuals who participate in stock incentive plans of overseas publicly listed companies, which includes employee stock ownership plans, stock option plans and other incentive plans permitted by relevant laws and regulations, a PRC domestic qualified agent or the PRC subsidiary of such overseas listed company must, among other things, file on behalf of such resident an application with SAFE or its local counterpart to obtain approval for an annual allowance with respect to the purchase of foreign exchange in connection with the stock holding or exercise of share options, as PRC residents may not directly use overseas funds to purchase shares or exercise share options. In addition, within three months after any substantial changes to any such stock incentive plan, including for example, any changes due to a merger or acquisition or changes to the domestic or overseas custodian agent, the domestic agent must update the registration with SAFE.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Foreign Currency Administration Rules, as amended in 2008, the foreign exchange proceeds of domestic entities and individuals can be remitted into China or deposited abroad, subject to the terms and conditions to be issued by SAFE. However, the implementing rules with respect to depositing foreign exchange proceeds abroad have not been issued by SAFE. The foreign exchange proceeds from the sales of shares can be converted into RMB or transferred to such individuals’ foreign exchange savings account after the proceeds have been remitted back to the special foreign exchange account opened at the PRC domestic bank. If share options are exercised in a cashless exercise, the PRC domestic individuals are required to remit the proceeds to special foreign exchange accounts.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Many issues with respect to the new notice require further interpretation. We and our PRC employees who have participated in an employee stock ownership plan or share option plan are subject to the new notice. If we or our PRC employees fail to comply with the new notice, we and our PRC employees may face sanctions imposed by the PRC foreign exchange authority or any other PRC government authorities, including restrictions on foreign currency conversions and additional capital contributions to our PRC subsidiary.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addition, the State Administration of Taxation has issued circulars concerning employee share options. Under these circulars, our employees working in China who exercise share options will be subject to PRC individual income taxes. Our PRC subsidiary has obligations to file documents related to employee share options with the relevant tax authorities and withhold individual income taxes of employees who exercise their share options.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See “Item 3.D. Key Information—Risk Factors—Risks Relating to Doing Business in China—Failure to comply with PRC regulations regarding the registration requirements for stock ownership plans or stock option plans may subject PRC plan participants or us to fines and other legal or administrative sanctions.”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Labor Laws and Social Insurance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Pursuant to the PRC Labor Law and the PRC Labor Contract Law, employers must execute written labor contracts with full-time employees. All employers must compensate their employees with wages equal to at least the local minimum wage standards. All employers are required to establish a system for labor safety and sanitation, strictly abide by state rules and standards and provide employees with workplace safety training. Violations of the PRC Labor Contract Law and the PRC Labor Law may result in the imposition of fines and other administrative liabilities. Criminal liability may arise for serious violations.</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employers in China are obliged to provide employees with welfare schemes covering pension insurance, unemployment insurance, maternity insurance, work-related injury insurance, medical insurance and housing funds.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To comply with these laws and regulations, we have caused all of our full-time employees to enter into labor contracts and provide our employees with the proper welfare and employment benefits. If we are made subject to severe penalties or incur significant liabilities in connection with labor disputes or investigations, our business and results of operations may be adversely affected.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Concentration in Merger and Acquisition Transactions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M&amp;A Rules established procedures and requirements that could make merger and acquisition activities by foreign investors more time-consuming and complex. The M&amp;A Rules require, among other things, that the Ministry of Commerce be notified in advance of any change-of-control transaction in which a foreign investor will take control of a PRC domestic enterprise or a foreign company with substantial PRC operations, if certain thresholds under the Provisions on Thresholds for Prior Notification of Concentrations of Undertakings issued by the State Council on August 3, 2008 and amended on September 18, 2018 are triggered.</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Complying with these requirements could affect our ability to expand our business or maintain our market share. See “Item 3.D. Key Information— Risk Factors—Risks Relating to Doing Business in China—PRC laws and regulations establish more complex procedures for some acquisitions of Chinese companies by foreign investors, which could make it more difficult for us to pursue growth through acquisitions in China.”</w:t>
      </w:r>
    </w:p>
    <w:p>
      <w:pPr>
        <w:spacing w:after="0" w:line="16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Organizational Structure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Weibo is the parent company of our group and conducts business operations in China through wholly owned and partially owned subsidiaries, and consolidated VIEs and the subsidiaries of VIEs. The following diagram illustrates our corporate structure, including our significant subsidiaries, consolidated VIE and VIE’s subsidiary, as of the date of this annual report: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217285" cy="38760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1728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8006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0060" cy="68580"/>
                    </a:xfrm>
                    <a:prstGeom prst="rect">
                      <a:avLst/>
                    </a:prstGeom>
                    <a:noFill/>
                  </pic:spPr>
                </pic:pic>
              </a:graphicData>
            </a:graphic>
          </wp:anchor>
        </w:drawing>
      </w:r>
    </w:p>
    <w:p>
      <w:pPr>
        <w:spacing w:after="0" w:line="205" w:lineRule="exact"/>
        <w:rPr>
          <w:sz w:val="20"/>
          <w:szCs w:val="20"/>
          <w:color w:val="auto"/>
        </w:rPr>
      </w:pPr>
    </w:p>
    <w:p>
      <w:pPr>
        <w:ind w:left="1380" w:right="40"/>
        <w:spacing w:after="0" w:line="264" w:lineRule="auto"/>
        <w:rPr>
          <w:sz w:val="20"/>
          <w:szCs w:val="20"/>
          <w:color w:val="auto"/>
        </w:rPr>
      </w:pPr>
      <w:r>
        <w:rPr>
          <w:rFonts w:ascii="Arial" w:cs="Arial" w:eastAsia="Arial" w:hAnsi="Arial"/>
          <w:sz w:val="18"/>
          <w:szCs w:val="18"/>
          <w:color w:val="auto"/>
        </w:rPr>
        <w:t>Contractual arrangements including loan agreements, share transfer agreements, loan repayment agreements, agreements on authorization to exercise shareholder’s voting power, share pledge agreements, exclusive technical services agreement, exclusive sales agency agreement and trademark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48006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0060" cy="68580"/>
                    </a:xfrm>
                    <a:prstGeom prst="rect">
                      <a:avLst/>
                    </a:prstGeom>
                    <a:noFill/>
                  </pic:spPr>
                </pic:pic>
              </a:graphicData>
            </a:graphic>
          </wp:anchor>
        </w:drawing>
      </w:r>
    </w:p>
    <w:p>
      <w:pPr>
        <w:spacing w:after="0" w:line="161" w:lineRule="exact"/>
        <w:rPr>
          <w:sz w:val="20"/>
          <w:szCs w:val="20"/>
          <w:color w:val="auto"/>
        </w:rPr>
      </w:pPr>
    </w:p>
    <w:p>
      <w:pPr>
        <w:ind w:left="1380" w:right="140" w:hanging="1372"/>
        <w:spacing w:after="0" w:line="264" w:lineRule="auto"/>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shareholders of Weimeng are four non-executive PRC employees of our company or SINA, Y. Liu, W. Wang, W. Zheng and Z. Cao, holding 30%, 30%, 20% and 20% of Weimeng’s equity interest, respectively. The nominee shareholders of Weimeng have immaterial stake in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Weimeng and Its Shareholders.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capital investments in Weimeng were funded through Weibo Technology and recorded as interest-free loans to the shareholders of Weimeng. As of December 31, 2018, the total amount of interest-free loans to the shareholders of Weimeng was RMB555 million ($80.7 million). Under various contractual agreements, the shareholders of Weimeng are required to transfer their ownership in Weimeng to our wholly owned subsidiary in China, Weibo Technology, when permitted by PRC laws and regulations, or to our designees at any time for the amount of the outstanding loans, and all voting rights of Weimeng are assigned to Weibo Technology. Weibo Technology has the power to appoint all directors and senior management personnel of Weimeng. Through Weibo Technology, we have also entered into an exclusive technical services agreement and other service agreements with Weimeng, under which Weibo Technology provides technical services and other services to Weimeng in exchange for substantially all of its economic benefits. In addition, the shareholders of Weimeng have pledged their shares in Weimeng as collateral for repayment of loans and payment of fees on technical and other services due to us.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VIE agreements with Weimeng:</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i w:val="1"/>
          <w:iCs w:val="1"/>
          <w:color w:val="auto"/>
        </w:rPr>
        <w:t>Loan Agreements</w:t>
      </w:r>
      <w:r>
        <w:rPr>
          <w:rFonts w:ascii="Arial" w:cs="Arial" w:eastAsia="Arial" w:hAnsi="Arial"/>
          <w:sz w:val="18"/>
          <w:szCs w:val="18"/>
          <w:color w:val="auto"/>
        </w:rPr>
        <w:t>. Weibo Technology has granted interest-free loans to the shareholders of Weimeng with the sole purpose of providing funds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those shareholders to make capital injections to Weimeng. The term of the loans is 10 years and Weibo Technology has the right, at its own discretion, to shorten or extend the term of the loans if necessary. In our consolidated financial statements, these loans are eliminated with the capital of Weimeng during consolidation.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Share Transfer Agreements</w:t>
      </w:r>
      <w:r>
        <w:rPr>
          <w:rFonts w:ascii="Arial" w:cs="Arial" w:eastAsia="Arial" w:hAnsi="Arial"/>
          <w:sz w:val="16"/>
          <w:szCs w:val="16"/>
          <w:color w:val="auto"/>
        </w:rPr>
        <w:t>. Each shareholder of Weimeng has granted Weibo Technology an option to purchase his shares in Weimeng at a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equal to the amount of capital injection. Weibo Technology may exercise such option at any time until it has acquired all shares of Weimeng, subject to applicable PRC laws. The options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5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Loan Repayment Agreements</w:t>
      </w:r>
      <w:r>
        <w:rPr>
          <w:rFonts w:ascii="Arial" w:cs="Arial" w:eastAsia="Arial" w:hAnsi="Arial"/>
          <w:sz w:val="16"/>
          <w:szCs w:val="16"/>
          <w:color w:val="auto"/>
        </w:rPr>
        <w:t>. Each shareholder of Weimeng has agreed with Weibo Technology that the interest-free loans under the loan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shall only be repaid through share transfers. Once the share transfers are completed, the purchase price for the share transfer will be set off against the loan repayment. These agreements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Agreement on Authorization to Exercise Shareholder’s Voting Power</w:t>
      </w:r>
      <w:r>
        <w:rPr>
          <w:rFonts w:ascii="Arial" w:cs="Arial" w:eastAsia="Arial" w:hAnsi="Arial"/>
          <w:sz w:val="18"/>
          <w:szCs w:val="18"/>
          <w:color w:val="auto"/>
        </w:rPr>
        <w:t>. Each shareholder of Weimeng has authorized Weibo Technology to exercise all</w:t>
      </w:r>
      <w:r>
        <w:rPr>
          <w:rFonts w:ascii="Arial" w:cs="Arial" w:eastAsia="Arial" w:hAnsi="Arial"/>
          <w:sz w:val="18"/>
          <w:szCs w:val="18"/>
          <w:i w:val="1"/>
          <w:iCs w:val="1"/>
          <w:color w:val="auto"/>
        </w:rPr>
        <w:t xml:space="preserve"> </w:t>
      </w:r>
      <w:r>
        <w:rPr>
          <w:rFonts w:ascii="Arial" w:cs="Arial" w:eastAsia="Arial" w:hAnsi="Arial"/>
          <w:sz w:val="18"/>
          <w:szCs w:val="18"/>
          <w:color w:val="auto"/>
        </w:rPr>
        <w:t>his voting power as a shareholder of the applicable VIE on all matters requiring shareholders’ approval under PRC laws and regulations and the articles of association of Weimeng, including without limitation appointment of directors, transfer, mortgage or dispose of Weimeng’s assets, transfer of any equity interest in Weimeng, and merger, split, dissolution and liquidation of Weimeng. The authorizations are irrevocable and will not expire until Weimeng dissolves.</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Share Pledge Agreements</w:t>
      </w:r>
      <w:r>
        <w:rPr>
          <w:rFonts w:ascii="Arial" w:cs="Arial" w:eastAsia="Arial" w:hAnsi="Arial"/>
          <w:sz w:val="16"/>
          <w:szCs w:val="16"/>
          <w:color w:val="auto"/>
        </w:rPr>
        <w:t>. Each shareholder of Weimeng has pledged all of his shares in Weimeng and all other rights relevant to his rights in those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Weibo Technology as security for his obligations to pay off all debts to Weibo Technology under the loan agreements and for the payment obligations of Weimeng under the trademark license agreement and the technical services agreement. In the event of default of any payment obligations, Weibo Technology will be entitled to certain rights, including transferring the pledged shares to itself and disposing of the pledged shares through sale or auction. During the term of the agreements, Weibo Technology is entitled to receive all dividends and distributions paid on the pledged shares. The pledges will be effective until the earlier of (i) the third anniversary of the due date of the last guaranteed debt, (ii) Weimeng and its shareholders have fully performed their obligations under these agreements, and (iii) Weibo Technology consents to terminate these agreements. We have completed registration of equity pledges with the relevant office of the administration for industry and commerce in accordance with the PRC Property Rights Law.</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Exclusive Technical Services Agreement, Exclusive Sales Agency Agreement and Trademark License Agreement</w:t>
      </w:r>
      <w:r>
        <w:rPr>
          <w:rFonts w:ascii="Arial" w:cs="Arial" w:eastAsia="Arial" w:hAnsi="Arial"/>
          <w:sz w:val="16"/>
          <w:szCs w:val="16"/>
          <w:color w:val="auto"/>
        </w:rPr>
        <w:t>. Weimeng has entered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technical services agreement, an exclusive sales agency agreement and a trademark license agreement with Weibo Technology. Under the exclusive technical services agreement, Weibo Technology is engaged to provide technical services for Weimeng’s online advertising and other related businesses. Under the exclusive sales agency agreement, Weimeng has granted Weibo Technology the exclusive right to distribute, sell and provide agency services for all the products and services provided by Weimeng. Due to its control over Weimeng, Weibo Technology has the right to determine the service fee to be charged to Weimeng under these agreements by considering, among other things, the technical complexity of the services, the actual cost that may be incurred for providing such services, the operations of Weimeng, applicable tax rates, planned capital expenditure and business strategies. These agreements can only be prematurely terminated by Weibo Technology, and will not expire until Weimeng dissolves. Under the trademark license agreement, Weibo Technology has granted Weimeng trademark licenses to use the trademarks held by Weibo Technology in specific areas, and Weimeng is obligated to pay license fees to Weibo Technology. The term of this agreement is one year and is automatically renewed provided there is no objection from Weibo Technology. In the years ended December 31, 2016, 2017 and 2018, the total amount of service fees that Weibo Technology received from Weimeng under these service agreements and trademark license agreement was $335.6 million, $618.1 million and $842.6 million, respectively, which were based on the actual cost incurred from providing the services and the cash position and operations of Weimeng.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Although we have been advised by our PRC counsel, TransAsia Lawyers, that our arrangements with Weimeng are not in conflict with current PRC laws and regulations, we cannot assure you that we will not be required to restructure our organization and operations in China to comply with the changing and new PRC laws and regulations. Restructuring of our operations may result in disruption to our business. If PRC tax authorities were to determine that our transfer pricing structure was not done on an arm’s-length basis and therefore constitutes favorable transfer pricing, they could request Weimeng to adjust its taxable income upward for PRC tax purposes. Such a pricing adjustment may not reduce the tax expenses of Weibo Technology but could adversely affect us by increasing Weimeng’s tax expenses, which could subject Weimeng to late payment fees and other penalties for tax underpayment and/or could result in the loss of tax benefits available to Weibo Technology in China. Any of these measures may result in adverse tax consequences to us and adversely affect our results of operations.</w:t>
      </w:r>
    </w:p>
    <w:p>
      <w:pPr>
        <w:spacing w:after="0" w:line="19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Our headquarters and our principal product development facilities are located in Beijing. As of December 31, 2018, we have leased approximately 36,000 square meters of office space in multiple cities, including Beijing, Tianjin, Shanghai, Hangzhou, Shenyang and Chengdu. These leases have various expiration dates of until 2023. In addition, SINA allocates rental expenses to us for some of its office space where SINA employees devote part of their time to providing services to us or where SINA shares certain office space with us for our employees to use.</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servers that support our products and services are primarily maintained at China Telecommunications Corporation, or China Telecom, and China Unicom branches in cities across China, including Beijing, Shanghai, Guangzhou and Tianjin, as well as servers located at various internet data centers in Taipei, Santa Clara, California and Hong Kong. We share the use of domestic servers with SINA during the ordinary course of our business. Maintenance and repair are the responsibility of SINA employees for the time being. See “Item 7.B. Major Shareholders and Related Party Transactions—Related Party Transactions—Our Relationship with SINA.”</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This report contains forward-looking statements within the meaning of Section 27A of the Securities Act of 1933, as amended, and Section 21E of the Securities Exchange Act, as amended including, without limitation, statements regarding our expectations, beliefs, intentions or future strategies that are signified by the words “expect,” “anticipate,” “intend,” “believe,” the negative of such terms or other comparable terminology. All forward-looking statements included in this document are based on information available to us on the date hereof, and we undertake no obligation to update any such forward-looking statements. Actual results could differ materially from those projected in the forward-looking statements. We caution you that our business and repetitive financial performance are subject to substantial risks and uncertainties, including the factors identified in “Item 3.D. Key Information—Risk Factors,” that could cause actual results to differ materially from those in the forward-looking statements.</w:t>
      </w:r>
    </w:p>
    <w:p>
      <w:pPr>
        <w:spacing w:after="0" w:line="17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leading social media for people to create, share and discover Chinese-language content, Weibo combines the means of public self-expression in real time with a powerful platform for social interaction, content creation and distribution. Since our inception in August 2009, we have achieved significant scale. In December 2018, we had 462 million MAUs and 200 million average DAUs, increasing from 392 million MAUs and 172 million average DAUs in December 2017, and 313 million MAUs and 139 million average DAUs in December 2016. Approximately 93% of our MAUs in December 2018 accessed Weibo through mobile devices at least once during the month.</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Weibo offers a wide range of advertising and marketing solutions to our customers, ranging from key accounts, which are mostly large brand advertisers, to small medium-sized enterprises, enabling them to promote their brands, products and services to our users. Advertising and marketing services contribute to the majority of our revenues, including the sale of social display advertisements and promoted feeds. We have developed and are continuously refining our social interest graph, or SIG, recommendation engine, which enables our customers to perform people marketing and target audiences based on user demographics, social relationships and interests to achieve greater relevance, engagement and marketing effectiveness on Weibo.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value we create for our users and customers is enhanced by our platform partners, which include media outlets and other organization with media rights, MCNs, which are talent agencies for influencers, and app developers. Our platform partners contribute a vast amount of content to Weibo, broadly distribute Weibo content across their properties, and develop products and applications on our platform, enriching the experience of our users while increasing Weibo’s monetization opportunities. We have revenue-sharing arrangements with some of our platform partners, such as live streaming broadcaster agencies and game developers.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Weibo began monetization in 2012 primarily through the sale of advertising and marketing services and, to a lesser extent, through VIP membership, live streaming, game services and other value-added services. We place great emphasis on product innovation and our steady stream of new advertisement product introductions has led to rapid revenue growth. We have since experienced rapid revenue growth. Our revenues reached $655.8 million, $1,150.1 million and $1,718.5 million in 2016, 2017 and 2018, respectively. We had a net income attributable to Weibo of $108.0 million in 2016, $352.6 million in 2017 and $571.8 million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factors affecting our results of operations include the following:</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b w:val="1"/>
          <w:bCs w:val="1"/>
          <w:i w:val="1"/>
          <w:iCs w:val="1"/>
          <w:color w:val="auto"/>
        </w:rPr>
        <w:t>Popularity of Social Media</w:t>
      </w:r>
      <w:r>
        <w:rPr>
          <w:rFonts w:ascii="Arial" w:cs="Arial" w:eastAsia="Arial" w:hAnsi="Arial"/>
          <w:sz w:val="17"/>
          <w:szCs w:val="17"/>
          <w:color w:val="auto"/>
        </w:rPr>
        <w:t>. We have benefited from the growth in popularity of social media in China, and our results of operations will be affected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extent to which social media continues to grow in popularity and becomes further integrated into people’s everyday lives.</w:t>
      </w:r>
    </w:p>
    <w:p>
      <w:pPr>
        <w:spacing w:after="0" w:line="14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i w:val="1"/>
          <w:iCs w:val="1"/>
          <w:color w:val="auto"/>
        </w:rPr>
        <w:t>User Growth</w:t>
      </w:r>
      <w:r>
        <w:rPr>
          <w:rFonts w:ascii="Arial" w:cs="Arial" w:eastAsia="Arial" w:hAnsi="Arial"/>
          <w:sz w:val="17"/>
          <w:szCs w:val="17"/>
          <w:color w:val="auto"/>
        </w:rPr>
        <w:t>. Our revenues are ultimately affected by the scale of our user base, and the strategies we pursue to achieve user growth may affect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and expenses and results of operations. We have experienced rapid user growth since our inception in 2009. In general, the proportion of internet users in the more economically developed tier 1 and tier 2 cities in China who use Weibo is higher than in other parts of China. The term “tier 1 cities” comprises the four cities of Beijing, Shanghai, Guangzhou and Shenzhen, while “tier 2 cities” is commonly understood to include up to two dozen other large cities, mostly in the more developed coastal regions of China. Residents of tier 1 cities are early adopters of new technology and are influential in setting market trends. This is also true for residents of tier 2 cities, compared to residents of lower-tier cities and the rest of the country. Our ability to grow our active user base will depend in part on the success of our strategies to attract additional users from lower-tier cities and towns in China while maintaining or growing our user base in tier 1 and tier 2 cities.</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top priority currently is to grow user scale and user engagement especially on mobile and video, and we may not see these efforts translate into revenues and profits in the short term. Our monetization model is relatively new and evolving. Therefore, we are unable to gauge the period-to-period growth of our revenues based on any particular user traffic metric. Furthermore, our ability to monetize our user traffic depends to a large degree on how well the demographic profile and social interests of our users fit the audience profile that our advertising and marketing customers hope to reach at any given time. Our user growth rate may decrease as the size of our user base increases to an even larger scale and as we become more penetrated in China. Due to the media nature of our platform, the growth of our users may not be linear.</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User Engagement</w:t>
      </w:r>
      <w:r>
        <w:rPr>
          <w:rFonts w:ascii="Arial" w:cs="Arial" w:eastAsia="Arial" w:hAnsi="Arial"/>
          <w:sz w:val="18"/>
          <w:szCs w:val="18"/>
          <w:color w:val="auto"/>
        </w:rPr>
        <w:t>. Changes in user engagement could affect our results of operations, especially since we began adding monetization features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social platform. We need to motivate our users to engage actively on our platform to secure an abundant supply of user generated content, to entice content creators to share even more content, and to ensure that we have a broad audience for our advertising and marketing services. Video, particularly in the form of short video and streaming on mobile, is becoming increasingly popular in China and has become an important way for our users to engage and interact on Weibo. Our ability to provide an easy-to-use infrastructure for our users to create and share video as well as consume video, especially in a cost-effective manner, will largely impact our user experience.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plan to continue to enhance Weibo’s user experience and engagement by improving our product features, offering new products, expanding our content offerings through collaboration with platform partners, developing and integrating with applications and continuing to refine Weibo’s SIG recommendation engine to improve content relevancy and advertisement targeting capabilities.</w:t>
      </w:r>
    </w:p>
    <w:p>
      <w:pPr>
        <w:spacing w:after="0" w:line="181"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b w:val="1"/>
          <w:bCs w:val="1"/>
          <w:i w:val="1"/>
          <w:iCs w:val="1"/>
          <w:color w:val="auto"/>
        </w:rPr>
        <w:t>Competition</w:t>
      </w:r>
      <w:r>
        <w:rPr>
          <w:rFonts w:ascii="Arial" w:cs="Arial" w:eastAsia="Arial" w:hAnsi="Arial"/>
          <w:sz w:val="16"/>
          <w:szCs w:val="16"/>
          <w:color w:val="auto"/>
        </w:rPr>
        <w:t>. We face significant competition both for the time and attention of Chinese internet users and for the advertising and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spending of companies that market to Chinese consumers. Social media is relatively new as a means of advertising and we compete for advertising and marketing budgets with a wide variety of traditional and new media, including other social platforms and internet companies. We must compete effectively for users and for advertising and marketing customers in order to grow our platform and increase our revenues. We intend to continue to invest in product development, technology infrastructure, content aggregation and sales and marketing capabilities to address the competition we face.</w:t>
      </w:r>
    </w:p>
    <w:p>
      <w:pPr>
        <w:spacing w:after="0" w:line="15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b w:val="1"/>
          <w:bCs w:val="1"/>
          <w:i w:val="1"/>
          <w:iCs w:val="1"/>
          <w:color w:val="auto"/>
        </w:rPr>
        <w:t>Monetization</w:t>
      </w:r>
      <w:r>
        <w:rPr>
          <w:rFonts w:ascii="Arial" w:cs="Arial" w:eastAsia="Arial" w:hAnsi="Arial"/>
          <w:sz w:val="17"/>
          <w:szCs w:val="17"/>
          <w:color w:val="auto"/>
        </w:rPr>
        <w:t>. We have a short history of monetizing our platform and we are still exploring the most effective ways of monetization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adversely affecting user experience. Furthermore, social media is still in the stage of gaining acceptance by advertisers and marketers at broader range as an effective means for advertising and marketing in China. We monitor user engagement and adjust our pricing strategies to optimize the value of our platform for our users and our advertising and marketing customers. We plan to increase the monetization of our platform by growing our user base and user engagement, managing advertisement inventory more effectively, improving the targeting capabilities of our advertising and marketing offerings, developing new advertisement products, formats and capabilities, increasing mobile monetization and expanding our platform partners network. We also plan to further diversify our monetization through growing value-added services.</w:t>
      </w:r>
    </w:p>
    <w:p>
      <w:pPr>
        <w:spacing w:after="0" w:line="17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started monetization in 2012 by selling PC-based social display advertisements, and we have been exploring various ways of monetization since then. For example, in 2013, we introduced promoted feeds to SMEs, which are advertisements appearing in the information feed, and in 2014, we launched self-service ad, which allows customers to purchase our marketing services directly on Weibo. In 2015, Weibo Showcase advertisement went live, which allows a user to view an e-commerce merchandise from participating e-commerce sites, such as Taobao, on Weibo, add the merchandise to one’s shopping cart and seamlessly navigate to the buy page of the participating e-commerce sites. In 2016, we upgraded our advertisement system to allow SMEs to purchase brand advertisements and key accounts to purchase promoted feeds, as well as introduced video advertisements.</w:t>
      </w:r>
    </w:p>
    <w:p>
      <w:pPr>
        <w:spacing w:after="0" w:line="165"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In 2018, we witnessed strong mobile traffic growth and approximately 83% of our advertising and marketing revenues came from mobile. In December 2018, approximately 93% of our MAU accessed Weibo through a mobile device at least once during the month. We expect the proportion of mobile traffic to either maintain at current level or further rise, and we endeavor to monetize this increasing traffic. Our ability to further grow our mobile traffic and adopt mobile-tailored advertising and marketing solutions will have great impact on our future revenues and operating results. With the consumption of video content becoming increasingly popular in China, we expect video-format advertisements to become an indispensable part of our advertising revenues, which will be predicated on both our users and customers accepting video advertisements, particularly on mobile devices.</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b w:val="1"/>
          <w:bCs w:val="1"/>
          <w:i w:val="1"/>
          <w:iCs w:val="1"/>
          <w:color w:val="auto"/>
        </w:rPr>
        <w:t>Products and Services Innovation</w:t>
      </w:r>
      <w:r>
        <w:rPr>
          <w:rFonts w:ascii="Arial" w:cs="Arial" w:eastAsia="Arial" w:hAnsi="Arial"/>
          <w:sz w:val="16"/>
          <w:szCs w:val="16"/>
          <w:color w:val="auto"/>
        </w:rPr>
        <w:t>. Social media is an innovative and fast-changing field, and we must develop innovative products and services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 the disparate needs of users, advertising and marketing customers and platform partners and roll them out on a timely basis while controlling our product development expenses. We plan to continue to make significant investments in product development and refining the capabilities of Weibo’s SIG recommendation engine, and we may invest in or acquire businesses or assets to enhance our products, services and technical capabilities.</w:t>
      </w:r>
    </w:p>
    <w:p>
      <w:pPr>
        <w:spacing w:after="0" w:line="15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b w:val="1"/>
          <w:bCs w:val="1"/>
          <w:i w:val="1"/>
          <w:iCs w:val="1"/>
          <w:color w:val="auto"/>
        </w:rPr>
        <w:t>Investment in Technology Infrastructure</w:t>
      </w:r>
      <w:r>
        <w:rPr>
          <w:rFonts w:ascii="Arial" w:cs="Arial" w:eastAsia="Arial" w:hAnsi="Arial"/>
          <w:sz w:val="16"/>
          <w:szCs w:val="16"/>
          <w:color w:val="auto"/>
        </w:rPr>
        <w:t>. Our technology infrastructure is critical to providing users, customers and platform partners access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particularly during major events when activities on our platform increase substantially. We must continue to upgrade and expand our technology infrastructure to keep pace with the growth of our business and to ensure that technical difficulties do not detract from user experience or deter new users, customers or platform partners from accessing our platform. As 4G and Wi-Fi become more widely available in China and 5G is to be introduced to people’s daily life, we expect our users to share and consume more content in rich media format, such as photo, video and audio, which will require more infrastructure capacity, and costs to support, than text feeds. To increase our capabilities to meet technology infrastructure demands, especially those arising from major media events and increasing video usage, we work with third-party service providers to procure bandwidth and other infrastructure services. Our ability to derive greater cost efficiency from infrastructure demands will depend on factors including our ability to negotiate a lower unit price with third-party vendors over time and the mix of services provided by third-party vendors and SINA, our controlling shareholder.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i w:val="1"/>
          <w:iCs w:val="1"/>
          <w:color w:val="auto"/>
        </w:rPr>
        <w:t>Content Ecosystem</w:t>
      </w:r>
      <w:r>
        <w:rPr>
          <w:rFonts w:ascii="Arial" w:cs="Arial" w:eastAsia="Arial" w:hAnsi="Arial"/>
          <w:sz w:val="17"/>
          <w:szCs w:val="17"/>
          <w:color w:val="auto"/>
        </w:rPr>
        <w:t>. Our success depends on our ability to provide users with interesting and useful content, which in turn depends on the content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contributed by our users. Content creators, especially influencers, contribute content to Weibo to grow their fan base and increase awareness of their brands. We provide content creators with the opportunity to monetize their social assets on Weibo through advertising, e-commerce, subscription, tipping and other means. If content creators do not see significant value from their social marketing activities on Weibo and find monetization on Weibo inadequate, we may have to subsidize them through direct content cost payout, which may have an adverse and material impact on our business, financial condition and operating results. Alternatively, content creators may choose to contribute less or no content to Weibo, which may cause our user base and user engagement to decline and our customers to view our products and services as less attractive for advertising and marketing purposes. If that were to occur, our customers would reduce their spending on our platform.</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Marketing and Brand Promotion</w:t>
      </w:r>
      <w:r>
        <w:rPr>
          <w:rFonts w:ascii="Arial" w:cs="Arial" w:eastAsia="Arial" w:hAnsi="Arial"/>
          <w:sz w:val="18"/>
          <w:szCs w:val="18"/>
          <w:color w:val="auto"/>
        </w:rPr>
        <w:t>. Part of our growth strategy is to attract new users and increase user engagement in less developed lower-tier cities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towns. To execute this strategy, we plan to engage in a variety of marketing and brand promotion campaigns across China, which may cause our sales and marketing expenses to increase significantly in the near future.</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b w:val="1"/>
          <w:bCs w:val="1"/>
          <w:i w:val="1"/>
          <w:iCs w:val="1"/>
          <w:color w:val="auto"/>
        </w:rPr>
        <w:t>Investment in Talent</w:t>
      </w:r>
      <w:r>
        <w:rPr>
          <w:rFonts w:ascii="Arial" w:cs="Arial" w:eastAsia="Arial" w:hAnsi="Arial"/>
          <w:sz w:val="18"/>
          <w:szCs w:val="18"/>
          <w:color w:val="auto"/>
        </w:rPr>
        <w:t>. Our employee headcount has increased significantly since our inception. There is heavy demand in China’s internet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talented technical, sales and marketing, management and other personnel with necessary experience and expertise. We must recruit, retain and motivate talented employees while controlling our personnel-related expenses, including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generate the majority of our operating income from our PRC operations and have recorded income tax provisions for the periods presented.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According to Maples and Calder (Hong Kong) LLP, our Cayman Islands counsel,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a party to any double tax treaties that are applicable to any payments made to or by our company. There are no exchange control regulations or currency restrictions in the Cayman Islands.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subsidiary incorporated in Hong Kong, Weibo HK, is subject to Hong Kong profit tax at a rate of 16.5%. Hong Kong does not impose a withholding tax on dividends.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Weibo Technology, Weimeng and Weibo Interactive are incorporated in China and are subject to enterprise income tax on their taxable income in China at a standard rate of 25% if they are not eligible for any preferential tax treatment. Taxable income is based on the entity’s global income as determined under PRC tax laws and accounting standards. Weibo Technology is qualified as a software enterprise and is entitled to an exemption from the enterprise income tax for two years beginning 2015 and a 50% reduction to a rate of 12.5% for the subsequent three years. In late 2018, Weibo Technology was approved to be qualified as a “key software enterprise” for 2017 and was entitled to enjoy a further reduced preferential tax rate of 10% for 2017. Weibo Technology used the preferential tax treatment of its “key software enterprise” status of 2017 in 2018. The qualification as a “key software enterprise” is subject to annual evaluation and approval by the relevant authorities in China and Weibo Technology will only recognize the preferential tax treatment of “key software enterprise” status when approval from the relevant authorities is obtained.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Weibo Technology, Weimeng and Weibo Interactive are also subject to VAT and related surcharges at a combined rate of 6.7%. Weibo Technology and Weimeng have been subject to VAT since September 1, 2012, and Weibo Interactive since July 1, 2013. Previously, these entities had been subject to business tax and related surcharges at a combined rate of 5.6%. Our advertising and marketing revenues are also subject to cultural business construction fees at a rate of 3%.</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Dividends paid by our subsidiary in China, Weibo Technology, to our intermediary holding company in Hong Kong, Weibo HK, will be subject to PRC withholding tax at a rate of 10% unless they qualify for a special exemption. If Weibo HK satisfies all the requirements under the Arrangement between the PRC and the Hong Kong Special Administrative Region on the Avoidance of Double Taxation and Prevention of Fiscal Evasion with respect to Taxes on Income and receives approval from the relevant tax authority, then dividends paid by Weibo Technology to Weibo HK will be subject to a withholding tax rate of 5% instead. See “Item 3.D. Key Information—Risk Factors—Risks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our holding company in the Cayman Islands, Weibo Corporation, were deemed to be a “PRC resident enterprise” under the Enterprise Income Tax Law, it would be subject to enterprise income tax on its global income at a rate of 25%. See “Item 3.D. Key Information—Risk Factors—Risks Relating to Doing Business in China—We and/or our Hong Kong subsidiary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Weibo HK were deemed to be a “PRC resident enterprise” under the Enterprise Income Tax Law, then dividends payable by Weibo HK to Weibo Corporation may become subject to 10% PRC dividend withholding tax. Under such circumstances, it is not clear whether dividends payable by Weibo Technology to Weibo HK would still be subject to PRC dividend withholding tax and whether such tax, if imposed, would be imposed at a rate of 5% or 10%. See “Item 3.D. Key Information—Risk Factors—Risks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the past three years, inflation in China did not materially impact our results of operations. According to the National Bureau of Statistics of China, the consumer price index for 2016, 2017 and 2018 increased by 2.0%, 1.6% and 2.1%, year over year, respectively. Although we have not been materially affected by inflation in the past, we may be affected by inflation in the future if inflation rate in China increases.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appearing elsewhere in this annual report on form 20-F. The preparation of these consolidated financial statements requires us to make estimates, judgments and assumptions that affect the reported amounts of assets, liabilities, revenues and expenses, and related disclosure of contingent assets and liabilities. We evaluate these estimates, judgments and assumptions on an ongoing basis.</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estimates are based on historical experience and various other assumptions that we believe to be reasonable under the circumstances. These estimates form the basis for our judgments about the carrying values of assets and liabilities that are not readily apparent from other sources. Actual results may differ materially from such estimates under different assumptions or conditions.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preparation of our consolidated financial statements is in conformity with US GAAP. The consolidated financial statements include the accounts of our company, our wholly-owned subsidiaries, our variable interest entities and their subsidiaries. All significant intercompany balances and transactions have been eliminated.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Conformity with U.S. GAAP requires the use of estimates and judgments that affect the reported amounts in the consolidated financial statements and accompanying notes. These estimates form the basis for judgments we make about the carrying values of assets and liabilities, which are not readily apparent from other sources. U.S. GAAP requires making estimates and judgments in several areas, including, but not limited to, the basis of consolidation, revenue recognition, fair value accounting, income taxes, goodwill and other long-lived assets, allowances for doubtful accounts, stock-based compensation, the estimated useful lives of assets and convertible debt. We base the estimates and judgments on historical information and on various other assumptions that we believe are reasonable under the circumstances. Actual results could differ materially from such estimates.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May 2014, the Financial Accounting Standards Board (“FASB”) issued, ASU 2014-09, “Revenue from Contracts with Customers (Topic 606).” We adopted the new revenue guidance since January 1, 2018 using the modified retrospective method. Results for reporting periods beginning on or after January 1, 2018 are presented under ASC 606, while prior period amounts are not adjusted and continue to be reported in accordance with our historic accounting method under ASC 605. The main impacts are a) the presentation of value added tax recognized in revenue from “gross” to “net”, which results in equal decrease of revenues and cost of revenues, and b) the recognition of revenues and expenses at fair value for advertising barter transactions, which mainly results in the increase of revenue and advertising expenses.</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Under ASC 606, r</w:t>
      </w:r>
      <w:r>
        <w:rPr>
          <w:rFonts w:ascii="Arial" w:cs="Arial" w:eastAsia="Arial" w:hAnsi="Arial"/>
          <w:sz w:val="17"/>
          <w:szCs w:val="17"/>
          <w:color w:val="auto"/>
        </w:rPr>
        <w:t>evenues are recognized when control of the promised goods or services is transferred to customers in an amount that reflects the</w:t>
      </w:r>
      <w:r>
        <w:rPr>
          <w:rFonts w:ascii="Arial" w:cs="Arial" w:eastAsia="Arial" w:hAnsi="Arial"/>
          <w:sz w:val="18"/>
          <w:szCs w:val="18"/>
          <w:color w:val="auto"/>
        </w:rPr>
        <w:t xml:space="preserve"> </w:t>
      </w:r>
      <w:r>
        <w:rPr>
          <w:rFonts w:ascii="Arial" w:cs="Arial" w:eastAsia="Arial" w:hAnsi="Arial"/>
          <w:sz w:val="17"/>
          <w:szCs w:val="17"/>
          <w:color w:val="auto"/>
        </w:rPr>
        <w:t xml:space="preserve">consideration </w:t>
      </w:r>
      <w:r>
        <w:rPr>
          <w:rFonts w:ascii="Arial" w:cs="Arial" w:eastAsia="Arial" w:hAnsi="Arial"/>
          <w:sz w:val="18"/>
          <w:szCs w:val="18"/>
          <w:color w:val="auto"/>
        </w:rPr>
        <w:t>we expect to be entitled to in exchange for those goods or services. We identify the contracts with customers and all performance obligations</w:t>
      </w:r>
      <w:r>
        <w:rPr>
          <w:rFonts w:ascii="Arial" w:cs="Arial" w:eastAsia="Arial" w:hAnsi="Arial"/>
          <w:sz w:val="17"/>
          <w:szCs w:val="17"/>
          <w:color w:val="auto"/>
        </w:rPr>
        <w:t xml:space="preserve"> </w:t>
      </w:r>
      <w:r>
        <w:rPr>
          <w:rFonts w:ascii="Arial" w:cs="Arial" w:eastAsia="Arial" w:hAnsi="Arial"/>
          <w:sz w:val="18"/>
          <w:szCs w:val="18"/>
          <w:color w:val="auto"/>
        </w:rPr>
        <w:t>within those contracts. We then determine the transaction price and allocate the transaction price to the performance obligations within the contracts with customers, recognizing revenue when, or as, we satisfy our performance obligations.</w:t>
      </w:r>
    </w:p>
    <w:p>
      <w:pPr>
        <w:spacing w:after="0" w:line="18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do not believe that significant management judgments are involved in revenue recognition, but the amount and timing of our revenues could be different for any period if management made different judgments. Certain customers may receive sales rebates, which are accounted for as variable consideration. We estimate annual expected revenue volume of each individual agent with reference to their historical results. We recognize revenue for the amount of fees we receive from our advertisers, after deducting estimated sales rebates and net of value-added tax (“VAT”) under ASC 606. We believe that there will not be significant changes to our estimates of variable consideration.</w:t>
      </w:r>
    </w:p>
    <w:p>
      <w:pPr>
        <w:spacing w:after="0" w:line="1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enter into contracts with our customers, which may give rise to contract assets (unbilled revenue) or contract liabilities (deferred revenue). The payment terms and conditions within the contracts vary by the type and location of our customers and products or services purchased, the substantial majority of which are due in less than one year. No material impact on the contract assets arose from the new guidance of revenue recognition. Deferred revenue related to unsatisfied performance obligations at the end of the period mainly consists of the unamortized balance of customer advance of advertising and marketing services. The deferred revenues are amortized on a straight-line basis through the service period. Due to the generally short-term duration of the contracts, the majority of the performance obligations are satisfied in the following reporting period.</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Practical Expedients and Exemption. </w:t>
      </w:r>
      <w:r>
        <w:rPr>
          <w:rFonts w:ascii="Arial" w:cs="Arial" w:eastAsia="Arial" w:hAnsi="Arial"/>
          <w:sz w:val="18"/>
          <w:szCs w:val="18"/>
          <w:color w:val="auto"/>
        </w:rPr>
        <w:t>We generally expense sales commissions when incurred because the amortization period is generally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These costs are recorded within sales and marketing expenses.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Advertising and Marketing Revenues</w:t>
      </w:r>
      <w:r>
        <w:rPr>
          <w:rFonts w:ascii="Arial" w:cs="Arial" w:eastAsia="Arial" w:hAnsi="Arial"/>
          <w:sz w:val="16"/>
          <w:szCs w:val="16"/>
          <w:color w:val="auto"/>
        </w:rPr>
        <w:t>. Advertising and marketing revenues are derived principally from online advertising, including social display</w:t>
      </w:r>
      <w:r>
        <w:rPr>
          <w:rFonts w:ascii="Arial" w:cs="Arial" w:eastAsia="Arial" w:hAnsi="Arial"/>
          <w:sz w:val="16"/>
          <w:szCs w:val="16"/>
          <w:i w:val="1"/>
          <w:iCs w:val="1"/>
          <w:color w:val="auto"/>
        </w:rPr>
        <w:t xml:space="preserve"> </w:t>
      </w:r>
      <w:r>
        <w:rPr>
          <w:rFonts w:ascii="Arial" w:cs="Arial" w:eastAsia="Arial" w:hAnsi="Arial"/>
          <w:sz w:val="16"/>
          <w:szCs w:val="16"/>
          <w:color w:val="auto"/>
        </w:rPr>
        <w:t>ads and promoted marketing. Social display ad arrangements allow customers to place advertisements on particular areas of our platform or website in particular formats and over particular periods of time, which is typically no more than three months. We enter into cost per mille (“CPM”), or cost per thousand impressions, advertising arrangements with the customers, under which we recognize revenues based on the number of times that the advertisement has been displayed. We also enter into cost per day (“CPD”) advertising arrangements with customers, under which we recognize revenues ratably over the contract periods. Promoted marketing arrangements are primarily priced based on CPM. Under the CPM model, customers are obligated to pay when the advertisement is displayed. Our majority revenue transactions are based on standard business terms and conditions, which are recognized net of agency rebates. The agency rebates are accounted for as variable consideration and are estimated during interim periods based on estimated annual revenue volume of each individual agent with reference to their historical results, which involves accounting judgment. We believe our estimation approach in variable consideration results in revenue recognition in a manner consistent with the underlying economics of the transaction.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Our contracts with customers may include multiple performance obligations, which primarily consist of combination of service to allow customers to place advertisements on different areas of our platform or website. For such arrangements, advertising arrangements involving multiple deliverables are broken down into single-element arrangements based on their stand-alone selling price for revenue recognition purposes. The estimation of stand-alone selling price involves significant judgment, especially for the deliverables that have not been sold separately. For those deliverables, we determine best estimate of the stand-alone selling price by taking into consideration of the pricing of advertising areas of our platform or website with similar popularities and advertisements with similar formats and quoted prices from competitors and other market conditions. We believe our estimation approach in stand-alone selling price and allocation of the transaction price on a relative stand-alone selling price to each performance obligation results in revenue recognition in a manner consistent with the underlying economics of the transaction and the allocation principle included in ASC 606. Revenues recognized with reference to best estimation of selling price were immaterial for all periods presented. Most of such contracts have all performance obligations completed within one year. Changes in judgments on these assumptions and estimates could materially impact the timing or amount of revenue recognition.</w:t>
      </w:r>
    </w:p>
    <w:p>
      <w:pPr>
        <w:spacing w:after="0" w:line="169"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Revenues from barter transactions are recognized during the period in which the advertisements are displayed on our properties. Barter transactions in which physical goods or services are received in exchange for advertising services are recorded based on the fair values of the goods or services received.</w:t>
      </w:r>
    </w:p>
    <w:p>
      <w:pPr>
        <w:spacing w:after="0" w:line="1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Value-added Services Revenues</w:t>
      </w:r>
      <w:r>
        <w:rPr>
          <w:rFonts w:ascii="Arial" w:cs="Arial" w:eastAsia="Arial" w:hAnsi="Arial"/>
          <w:sz w:val="18"/>
          <w:szCs w:val="18"/>
          <w:color w:val="auto"/>
        </w:rPr>
        <w:t>. We generate value-added services revenues principally from fee-based services, mainly including VIP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live streaming and game-related services. Revenues from these services are recognized when control of the promised services is transferred to customers, in an amount that reflects the consideration we expect to be entitled to in exchange for those services.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VIP membership is a service package consisting of one performance obligation of providing user certification and preferential benefits, such as daily priority listings and higher quota for following user accounts. Prepaid VIP membership fees are recorded as deferred revenue and recognized as revenue ratably over the contract period of the membership service.</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Live streaming generates revenue from sales of virtual items on the Yizhibo platform. Users can access the platform and view the live streaming content and interact with the broadcasters for free. We design, create and offer various virtual items for sales to users with pre-determined selling price. Each virtual item is considered as a distinctive performance obligation. Sales proceeds are recorded as deferred revenue and recognized as revenue based on the consumption of the virtual items. Users can purchase and present virtual items to broadcasters to show support for their favorite ones. Under the arrangements with broadcasters or broadcaster agencies, we share with them a portion of the revenues derived from the consumption of virtual items. Revenues derived from the sale of virtual items are recorded on a gross basis as we have determined that we act as the principal to fulfill all obligations related to the live streaming services. The portion paid to broadcasters and/or broadcaster agencies is recognized as cost of revenues. We do not have further obligations to the user after the virtual items are consumed.</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Game-related revenues are mostly generated from the purchase of virtual items by game players through our platform. Each virtual item is considered as a distinctive performance obligation. We collect payments from the game players in connection with the sale of virtual currency, which can be used to purchase virtual items in online games.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Revenue is recorded on a gross basis for games that we are acting as the principal in fulfilling all obligations related to the games and revenue is recorded net of predetermined revenue sharing with the game developers for games in which we are not acting as the principal in fulfilling all obligations.</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Sale of virtual currencies are recognized as revenues over the estimated consumption period of in-game virtual items, which is typically from a few days to one month after the purchase of in-game credits. Virtual currency sold for game-related services in excess of recognized revenues is recorded as deferred revenues.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All stock-based awards to employees and directors, such as stock options and restricted share units (“RSUs”), are measured at the grant date based on the fair value of the awards. Stock-based compensation, net of forfeitures, is recognized as expenses on a straight-line basis over the requisite service period, which is the vesting period.</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use the Black-Scholes option pricing model to estimate the fair value of stock options. The determination of estimated fair value of stock-based payment awards on the grant date using an option pricing model is affected by the fair value of our ordinary shares as well as assumptions regarding a number of complex and subjective variables. These variables include the expected value volatility of us over the expected term of the awards, actual and projected employee stock option exercise behaviors, a risk-free interest rate and expected dividends, if any. Options granted generally vest over four years.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the estimated compensation cost of restricted share units based on the fair value of the corresponding ordinary shares on the date of the grant. We recognize the compensation cost, net of estimated forfeitures, over a vesting term of generally four years for service-based restricted share units. We also recognize the compensation cost of performance-based restricted share units, net of estimated forfeitures, if it is probable that the performance condition will be achieved at the end of each reporting period.</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Forfeitures are estimated at the time of grant and revised in subsequent periods if actual forfeitures differ from those estimates. We use historical data to estimate pre-vesting option and record stock-based compensation expense only for those awards that are expected to vest.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i w:val="1"/>
          <w:iCs w:val="1"/>
          <w:color w:val="auto"/>
        </w:rPr>
        <w:t>Income Tax</w:t>
      </w:r>
      <w:r>
        <w:rPr>
          <w:rFonts w:ascii="Arial" w:cs="Arial" w:eastAsia="Arial" w:hAnsi="Arial"/>
          <w:sz w:val="16"/>
          <w:szCs w:val="16"/>
          <w:color w:val="auto"/>
        </w:rPr>
        <w:t>. Income taxes are accounted for using the asset and liability approach. Under this approach, income tax expense is recognized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taxes payable or refundable for the current year. In addition, deferred tax assets and liabilities are recognized for the expected future tax consequences of temporary differences between the financial reporting and tax bases of assets and liabilities and for operating losses and tax credit carryforwards. We record a valuation allowance to reduce deferred tax assets to an amount for which realization is more likely than not.</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Uncertain Tax Positions</w:t>
      </w:r>
      <w:r>
        <w:rPr>
          <w:rFonts w:ascii="Arial" w:cs="Arial" w:eastAsia="Arial" w:hAnsi="Arial"/>
          <w:sz w:val="16"/>
          <w:szCs w:val="16"/>
          <w:color w:val="auto"/>
        </w:rPr>
        <w:t>. To assess uncertain tax positions, we apply a more likely than not threshold and a two-step approach for the tax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Allowances for Doubtful Accounts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Accounts receivable are recorded and carried at the original invoiced amount less an allowance for any potential uncollectible amounts. We maintain an allowance for doubtful accounts which reflects our best estimate of amounts that will not be collected. We determine the allowance for doubtful accounts based on a historical, rolling average, bad debt rate in the prior period and other factors, such as credit-worthiness of the customers and the age of the receivable balances. We also provide specific provisions for bad debts when facts and circumstances indicate that the receivable is unlikely to be collected. If the financial condition of our customers were to deteriorate, resulting in an impairment of their ability to make payments, more bad debt allowances may be required.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All financial assets and liabilities are recognized or disclosed at fair value in the consolidated financial statements on a recurring basis.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w:t>
      </w:r>
    </w:p>
    <w:p>
      <w:pPr>
        <w:spacing w:after="0" w:line="188" w:lineRule="exact"/>
        <w:rPr>
          <w:sz w:val="20"/>
          <w:szCs w:val="20"/>
          <w:color w:val="auto"/>
        </w:rPr>
      </w:pPr>
    </w:p>
    <w:p>
      <w:pPr>
        <w:ind w:firstLine="638"/>
        <w:spacing w:after="0" w:line="255" w:lineRule="auto"/>
        <w:rPr>
          <w:sz w:val="20"/>
          <w:szCs w:val="20"/>
          <w:color w:val="auto"/>
        </w:rPr>
      </w:pPr>
      <w:r>
        <w:rPr>
          <w:rFonts w:ascii="Arial" w:cs="Arial" w:eastAsia="Arial" w:hAnsi="Arial"/>
          <w:sz w:val="18"/>
          <w:szCs w:val="18"/>
          <w:color w:val="auto"/>
        </w:rPr>
        <w:t>We measure the equity method investments at fair value on a non-recurring basis only if an impairment charge were to be recognized. For those investments without readily determinable fair value, we measure them at fair value when observable price changes are identified or impairment charge was recognized. The fair values of our privately held investments as disclosed are determined based on the discounted cash flow model using the discount curve of market interest rates or based on the similar transaction price in the market directly. The fair values of our investments in the equity securities of publicly listed companies are measured using quoted market prices. Our non-financial assets, such as intangible assets, goodwill and fixed assets, would be measured at fair value only if they were determined to be impaired.</w:t>
      </w:r>
    </w:p>
    <w:p>
      <w:pPr>
        <w:spacing w:after="0" w:line="193"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47" w:lineRule="exact"/>
        <w:rPr>
          <w:sz w:val="20"/>
          <w:szCs w:val="20"/>
          <w:color w:val="auto"/>
        </w:rPr>
      </w:pPr>
    </w:p>
    <w:p>
      <w:pPr>
        <w:ind w:left="940" w:hanging="284"/>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225" w:lineRule="exact"/>
        <w:rPr>
          <w:rFonts w:ascii="Arial" w:cs="Arial" w:eastAsia="Arial" w:hAnsi="Arial"/>
          <w:sz w:val="18"/>
          <w:szCs w:val="18"/>
          <w:color w:val="auto"/>
        </w:rPr>
      </w:pPr>
    </w:p>
    <w:p>
      <w:pPr>
        <w:ind w:left="980" w:right="60" w:hanging="324"/>
        <w:spacing w:after="0" w:line="279" w:lineRule="auto"/>
        <w:tabs>
          <w:tab w:leader="none" w:pos="944"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1" w:lineRule="exact"/>
        <w:rPr>
          <w:rFonts w:ascii="Arial" w:cs="Arial" w:eastAsia="Arial" w:hAnsi="Arial"/>
          <w:sz w:val="17"/>
          <w:szCs w:val="17"/>
          <w:color w:val="auto"/>
        </w:rPr>
      </w:pPr>
    </w:p>
    <w:p>
      <w:pPr>
        <w:ind w:left="980" w:right="1000" w:hanging="324"/>
        <w:spacing w:after="0" w:line="277" w:lineRule="auto"/>
        <w:tabs>
          <w:tab w:leader="none" w:pos="9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carrying amount of cash and cash equivalents, short-term investments, accounts receivable due from third parties, accounts receivable due from Alibaba, accounts receivable due from other related parties, accounts payable, amount due from/to SINA, accrued and other liabilities approximates fair value because of their short-term nature.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Investments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Long-term investments are comprised of investments in publicly traded companies, privately held companies, and limited partnerships. We use the equity method to account for ordinary-share-equivalent equity investments over which we have significant influence but do not own a majority equity interest or otherwise control.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ASU 2016-01 and Its Implication</w:t>
      </w:r>
    </w:p>
    <w:p>
      <w:pPr>
        <w:spacing w:after="0" w:line="225" w:lineRule="exact"/>
        <w:rPr>
          <w:sz w:val="20"/>
          <w:szCs w:val="20"/>
          <w:color w:val="auto"/>
        </w:rPr>
      </w:pPr>
    </w:p>
    <w:p>
      <w:pPr>
        <w:ind w:right="60" w:firstLine="638"/>
        <w:spacing w:after="0" w:line="312" w:lineRule="auto"/>
        <w:rPr>
          <w:sz w:val="20"/>
          <w:szCs w:val="20"/>
          <w:color w:val="auto"/>
        </w:rPr>
      </w:pPr>
      <w:r>
        <w:rPr>
          <w:rFonts w:ascii="Arial" w:cs="Arial" w:eastAsia="Arial" w:hAnsi="Arial"/>
          <w:sz w:val="16"/>
          <w:szCs w:val="16"/>
          <w:color w:val="auto"/>
        </w:rPr>
        <w:t xml:space="preserve">Before </w:t>
      </w:r>
      <w:r>
        <w:rPr>
          <w:rFonts w:ascii="Arial" w:cs="Arial" w:eastAsia="Arial" w:hAnsi="Arial"/>
          <w:sz w:val="15"/>
          <w:szCs w:val="15"/>
          <w:color w:val="auto"/>
        </w:rPr>
        <w:t>the</w:t>
      </w:r>
      <w:r>
        <w:rPr>
          <w:rFonts w:ascii="Arial" w:cs="Arial" w:eastAsia="Arial" w:hAnsi="Arial"/>
          <w:sz w:val="16"/>
          <w:szCs w:val="16"/>
          <w:color w:val="auto"/>
        </w:rPr>
        <w:t xml:space="preserve"> adoption of ASU 2016-01 in 2018, we used the cost method to account for equity investments over which we do not have significant influence, or the investments in which we hold equity shares that are not common shares/in-substance common share without readily determinable fair value. For marketable equity securities, we reported them at fair value and accounted for them as available-for-sale (“AFS”) securities under long-term investments.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38"/>
        <w:spacing w:after="0" w:line="257" w:lineRule="auto"/>
        <w:rPr>
          <w:sz w:val="20"/>
          <w:szCs w:val="20"/>
          <w:color w:val="auto"/>
        </w:rPr>
      </w:pPr>
      <w:r>
        <w:rPr>
          <w:rFonts w:ascii="Arial" w:cs="Arial" w:eastAsia="Arial" w:hAnsi="Arial"/>
          <w:sz w:val="18"/>
          <w:szCs w:val="18"/>
          <w:color w:val="auto"/>
        </w:rPr>
        <w:t>After adopting ASU 2016-01 on January 1, 2018, we measure investments in equity securities other than equity method investments at fair value through earnings. For those investments without readily determinable fair values, we elect to record these investments at cost, less impairment, and plus or minus subsequent adjustments for observable price changes. Under this measurement alternative, changes in the carrying value of the investments will be recognized in consolidated statement of comprehensive income, whenever there are observable price changes in orderly transactions for the identical or similar investment of the same issuer.</w:t>
      </w:r>
    </w:p>
    <w:p>
      <w:pPr>
        <w:spacing w:after="0" w:line="188" w:lineRule="exact"/>
        <w:rPr>
          <w:sz w:val="20"/>
          <w:szCs w:val="20"/>
          <w:color w:val="auto"/>
        </w:rPr>
      </w:pPr>
    </w:p>
    <w:p>
      <w:pPr>
        <w:ind w:right="40" w:firstLine="638"/>
        <w:spacing w:after="0" w:line="277" w:lineRule="auto"/>
        <w:rPr>
          <w:sz w:val="20"/>
          <w:szCs w:val="20"/>
          <w:color w:val="auto"/>
        </w:rPr>
      </w:pPr>
      <w:r>
        <w:rPr>
          <w:rFonts w:ascii="Arial" w:cs="Arial" w:eastAsia="Arial" w:hAnsi="Arial"/>
          <w:sz w:val="18"/>
          <w:szCs w:val="18"/>
          <w:color w:val="auto"/>
        </w:rPr>
        <w:t>The marketable equity securities were reclassified as investments with readily determinable fair values under the ASU 2016-01. There will no longer be an available-for-sale classification for equity securities.</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Pursuant to ASC 321, for equity investments measured at fair value with changes in fair value recorded in earnings, we do not assess whether those securities are impaired. For those equity investments that we elect to use the measurement alternative, we make a qualitative assessment of whether the investment is impaired at each reporting date. If a qualitative assessment indicates that the investment is impaired, the entity has to estimate the investment’s fair value in accordance with the principles of ASC 820. If the fair value is less than the investment’s carrying value, the entity has to recognize an impairment loss in net income equal to the difference between the carrying value and fair value. Prior to 2018, these securities were classified as available-for-sale securities and measured and recorded at fair value with unrealized changes in fair value recorded through other comprehensive income.</w:t>
      </w:r>
    </w:p>
    <w:p>
      <w:pPr>
        <w:spacing w:after="0" w:line="16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Investments in entities which we can exercise significant influence and hold an investment in voting common shares or in-substance common shares (or both) of the investee but do not own a majority equity interest or control are accounted for using the equity method of accounting in accordance with ASC topic 323 (“ASC 323”), Investment -— Equity Method and Joint Ventures. Under the equity method, we initially record our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We subsequently adjust the carrying amount of the investments to recognize our proportionate share of each equity investee’s net income or loss into earnings after the date of investment. We evaluate the equity method investments for impairment under ASC 323. An impairment loss on the equity method investments is recognized in earnings when the decline in value is determined to be other-than-temporary.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Property and equipment are stated at cost less accumulated depreciation, amortization and impairment, if any. Depreciation is computed using the straight-line method over the estimated useful lives of the assets, generally from three to four years for computers and equipment and five years for furniture and fixtures. Leasehold improvements are amortized over the shorter of the estimated useful lives of the assets or the remaining lease term.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Goodwill represents the excess of the purchase price over the fair value of the identifiable assets and liabilities acquired as a result of our acquisitions of interests in our subsidiaries and consolidated VIE. We assesses goodwill for impairment in accordance with ASC Subtopic 350-20 (“ASC 350-20”), Intangibles - Goodwill and Other: Goodwill, which requires that goodwill be tested for impairment at the reporting unit level at least annually and more frequently upon the occurrence of certain events, as defined by ASC 350-20. U.S. GAAP provides the option to apply the qualitative assessment first and then the quantitative assessment, if necessary, or to apply the quantitative assessment directly. The qualitative approach starts the goodwill impairment test by assessing qualitative factors, which by taking into consideration of macroeconomics, overall financial performance, industry and market conditions and the share price of us, to determine whether it is more likely than not that the fair value of a reporting unit is less than its carrying amount. If so, the quantitative impairment test is performed; otherwise, no further testing is required. When we perform the quantitative impairment test, we first determine whether it is more likely than not that the fair value of a reporting unit is less than its carrying amount. For those reporting units where it is determined that it is more likely than not that their fair values are less than the their carrying amounts, we perform the second step of a two-step quantitative goodwill impairment test to allocate the fair value of reporting units to all of the assets and liabilities of that unit (including any unrecognized intangible assets) as if the reporting unit had been acquired in a business combination. Application of a goodwill impairment test requires significant management judgment, including the identification of reporting units, assigning assets and liabilities to reporting units, assigning goodwill to reporting units, and determining the fair value of each reporting unit.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Intangible assets arising from acquisitions are recognized at fair value upon acquisition and amortized on a straight-line basis over their estimated useful lives, generally from five to ten years. Long-lived assets and certain identifiable intangible assets other than goodwill to be held and used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long-lived assets and certain identifiable intangible assets that management expects to hold or use is based on the amount by which the carrying value exceeds the fair value of the asset. Judgment is used in estimating future cash flows, determining appropriate discount rates and making other assumptions. Changes in these estimates and assumptions could materially affect the determination of the asset’s fair value.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determine the appropriate accounting treatment of our convertible debt in accordance with the terms in relation to the conversion feature. After considering the impact of such features, we may account for such instrument as a liability in its entirety, or separate the instrument into debt and equity components following the respective guidance described under ASC 815 Derivatives and Hedging and ASC 470 Debt.</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debt discount, if any, together with related issuance cost are subsequently amortized as interest expense over the contractual life. We presented the issuance costs of debt as a direct deduction from the related debt during the periods presented.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February 2016, the FASB issued a new standard on leases, ASU 2016-02, which requires that a lessee recognize the assets and liabilities that arise from operating leases. A lessee should recognize a liability to make lease payments (the Lease Liability) and a right-of-use asset representing its right to use the underlying asset for the lease term in the statements of financial position. For leases with a term of 12 months or less, a lessee is permitted to make an accounting policy election by class of underlying asset not to recognize lease assets and lease liabilities. In July 2018, the FASB issued an amendment on leases, ASU 2018-11, which provides another transition method in addition to the existing transition methods by allowing entities to initially apply the new leases standard at the effective date and recognize a cumulative-effect adjustment to the opening balance of retained earnings in the period of adoption. We have adopted the new lease standard beginning the first quarter of fiscal year 2019 using the transition method provided by ASU 2018-11 and will not retrospectively adjust the prior comparative periods. The impacts of initially applying the guidance on the opening balance of 2019 mainly were estimated to recognize approximately $10 million to $12 million of leasing related assets and liabilities that arise from our operating leases, respectively.</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FASB issued of ASU 2016-13, “Financial Instruments—Credit Losses (Topic 326), Measurement of Credit Losses on Financial Instruments”, which will be effective for us in the fiscal year of 2020. The guidance replaces the incurred loss impairment methodology with an expected credit loss model for which an entity recognizes an allowance based on the estimate of expected credit loss. In November 2018, the FASB issued an amendment of Topic 326, ASU 2018-19, which clarifies that receivables arising from operating leases are not within the scope of Subtopic 326-20 and should be accounted for in accordance with Topic 842, Leases. We are currently evaluating the impact of adopting ASU 2016-13 on our consolidated financial statements but do not expect it to have a material impact.</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January 2017, the FASB issued ASU 2017-04, which simplifies the subsequent measurement of goodwill by eliminating Step 2 from the goodwill impairment test. Under the amendments, an entity should perform its annual, or interim, goodwill impairment test by comparing the fair value of a reporting unit with its carrying value, which eliminates the current requirement to calculate a goodwill impairment charge by comparing the implied fair value of goodwill with its carrying amount. The amendments will be effective beginning the first quarter of fiscal year 2020. We adopted the guidance on January 1, 2019 on a prospective basis and expect no impact arising from the amendments.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following table sets forth a summary of our consolidated results of operations for the periods presented. This information should be read together with our audited consolidated financial statements and related notes included elsewhere in this annual report on Form 20-F.</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6"/>
          </w:tcPr>
          <w:p>
            <w:pPr>
              <w:jc w:val="center"/>
              <w:ind w:left="472"/>
              <w:spacing w:after="0"/>
              <w:rPr>
                <w:sz w:val="20"/>
                <w:szCs w:val="20"/>
                <w:color w:val="auto"/>
              </w:rPr>
            </w:pPr>
            <w:r>
              <w:rPr>
                <w:rFonts w:ascii="Arial" w:cs="Arial" w:eastAsia="Arial" w:hAnsi="Arial"/>
                <w:sz w:val="14"/>
                <w:szCs w:val="14"/>
                <w:b w:val="1"/>
                <w:bCs w:val="1"/>
                <w:color w:val="auto"/>
                <w:w w:val="93"/>
              </w:rPr>
              <w:t>For the 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91"/>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w w:val="85"/>
              </w:rPr>
              <w:t>2018</w:t>
            </w:r>
            <w:r>
              <w:rPr>
                <w:rFonts w:ascii="Arial" w:cs="Arial" w:eastAsia="Arial" w:hAnsi="Arial"/>
                <w:sz w:val="16"/>
                <w:szCs w:val="16"/>
                <w:b w:val="1"/>
                <w:bCs w:val="1"/>
                <w:color w:val="auto"/>
                <w:w w:val="85"/>
                <w:vertAlign w:val="superscript"/>
              </w:rPr>
              <w:t>(1)</w:t>
            </w:r>
          </w:p>
        </w:tc>
        <w:tc>
          <w:tcPr>
            <w:tcW w:w="100" w:type="dxa"/>
            <w:vAlign w:val="bottom"/>
          </w:tcPr>
          <w:p>
            <w:pPr>
              <w:spacing w:after="0"/>
              <w:rPr>
                <w:sz w:val="12"/>
                <w:szCs w:val="12"/>
                <w:color w:val="auto"/>
              </w:rPr>
            </w:pPr>
          </w:p>
        </w:tc>
      </w:tr>
      <w:tr>
        <w:trPr>
          <w:trHeight w:val="119"/>
        </w:trPr>
        <w:tc>
          <w:tcPr>
            <w:tcW w:w="6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80" w:type="dxa"/>
            <w:vAlign w:val="bottom"/>
            <w:gridSpan w:val="6"/>
          </w:tcPr>
          <w:p>
            <w:pPr>
              <w:jc w:val="center"/>
              <w:ind w:left="432"/>
              <w:spacing w:after="0" w:line="119" w:lineRule="exact"/>
              <w:rPr>
                <w:sz w:val="20"/>
                <w:szCs w:val="20"/>
                <w:color w:val="auto"/>
              </w:rPr>
            </w:pPr>
            <w:r>
              <w:rPr>
                <w:rFonts w:ascii="Arial" w:cs="Arial" w:eastAsia="Arial" w:hAnsi="Arial"/>
                <w:sz w:val="13"/>
                <w:szCs w:val="13"/>
                <w:b w:val="1"/>
                <w:bCs w:val="1"/>
                <w:color w:val="auto"/>
                <w:w w:val="99"/>
              </w:rPr>
              <w:t>(In thousands, except for per share and per ADS</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data)</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marketing 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Third parties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428,275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780,545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1,172,136</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Alibaba</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57,908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84,688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117,696</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SINA and other related parties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84,799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131,512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209,348</w:t>
            </w: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570,982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996,745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Value-added services revenues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84,818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153,309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219,338</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1,150,054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171,231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231,255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277,648</w:t>
            </w:r>
          </w:p>
        </w:tc>
      </w:tr>
      <w:tr>
        <w:trPr>
          <w:trHeight w:val="216"/>
        </w:trPr>
        <w:tc>
          <w:tcPr>
            <w:tcW w:w="6640" w:type="dxa"/>
            <w:vAlign w:val="bottom"/>
          </w:tcPr>
          <w:p>
            <w:pPr>
              <w:ind w:left="180"/>
              <w:spacing w:after="0" w:line="21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148,283</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275,537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527,424</w:t>
            </w:r>
          </w:p>
        </w:tc>
      </w:tr>
      <w:tr>
        <w:trPr>
          <w:trHeight w:val="216"/>
        </w:trPr>
        <w:tc>
          <w:tcPr>
            <w:tcW w:w="66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Product development</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154,088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193,393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249,873</w:t>
            </w:r>
          </w:p>
        </w:tc>
      </w:tr>
      <w:tr>
        <w:trPr>
          <w:trHeight w:val="216"/>
        </w:trPr>
        <w:tc>
          <w:tcPr>
            <w:tcW w:w="6640" w:type="dxa"/>
            <w:vAlign w:val="bottom"/>
          </w:tcPr>
          <w:p>
            <w:pPr>
              <w:ind w:left="180"/>
              <w:spacing w:after="0" w:line="21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41,218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42,315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43,755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intangibles impairment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10,554</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514,820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742,500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1,109,254</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407,554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Income (loss) from equity method investments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1,030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Fair value changes through earnings on investments</w:t>
            </w:r>
            <w:r>
              <w:rPr>
                <w:rFonts w:ascii="Arial" w:cs="Arial" w:eastAsia="Arial" w:hAnsi="Arial"/>
                <w:sz w:val="23"/>
                <w:szCs w:val="23"/>
                <w:color w:val="auto"/>
                <w:vertAlign w:val="superscript"/>
              </w:rPr>
              <w:t>(3)</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40,074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Investment related impairment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(40,161)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(24,074)</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8,757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13,260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43,808</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 expenses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109,980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417,111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Provision of income taxes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4,316</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66,746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96,222</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350,365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(2,363)</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(2,225)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Weibo</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108,027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352,590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Shares used in computing net income per share attributable to Weibo:</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214,745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220,555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223,751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222,859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225,363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232,683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per ordinary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0.50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Income per ADS</w:t>
            </w:r>
            <w:r>
              <w:rPr>
                <w:rFonts w:ascii="Arial" w:cs="Arial" w:eastAsia="Arial" w:hAnsi="Arial"/>
                <w:sz w:val="23"/>
                <w:szCs w:val="23"/>
                <w:color w:val="auto"/>
                <w:vertAlign w:val="superscript"/>
              </w:rPr>
              <w:t>(4)</w:t>
            </w: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0.48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340" w:right="220" w:hanging="332"/>
        <w:spacing w:after="0" w:line="297" w:lineRule="auto"/>
        <w:tabs>
          <w:tab w:leader="none" w:pos="3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January 1, 2018, we adopted new revenue guidance ASC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method under Topic 605. Topic 606 requires the presentation of VAT recognized in revenues from “gross” to “net,” which results in equal decrease in revenues and cost of revenues, and recognition of revenues and expenses at fair value for advertising barter transactions.</w:t>
      </w:r>
    </w:p>
    <w:p>
      <w:pPr>
        <w:spacing w:after="0" w:line="158"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Stock-based compensation was allocated in costs and expenses as follows:</w:t>
      </w:r>
    </w:p>
    <w:p>
      <w:pPr>
        <w:spacing w:after="0" w:line="217"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(in $ thousands)</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5,357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8,264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15,076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21,879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13,853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14,178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9,465</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36,902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60" w:hanging="332"/>
        <w:spacing w:after="0" w:line="279" w:lineRule="auto"/>
        <w:tabs>
          <w:tab w:leader="none" w:pos="3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adopted ASU 2016-01 “Classification and Measurement of Financial Instruments” beginning the first quarter of fiscal year 2018. After the adoption of the new accounting update, we measure investments in equity securities, other than equity method investments, at fair value through earnings. For those investments without readily determinable fair values, we elected to record these investments at cost, less impairment, and plus or minus subsequent adjustments for observable price changes. Changes in the basis of these investments are reported in current earnings.</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ADS represents one Class A ordinary share.</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generate revenues primarily from advertising and marketing services, including social display advertisements, and promoted marketing. We also generate revenues from value-added services, mainly including VIP membership, live streaming and game-related services.</w:t>
      </w:r>
    </w:p>
    <w:p>
      <w:pPr>
        <w:sectPr>
          <w:pgSz w:w="11900" w:h="16838" w:orient="portrait"/>
          <w:cols w:equalWidth="0" w:num="1">
            <w:col w:w="11420"/>
          </w:cols>
          <w:pgMar w:left="240" w:top="125" w:right="239" w:bottom="28"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revenues increased by 49% from $1,150.1 million in 2017 to $1,718.5 million in 2018.</w:t>
      </w:r>
    </w:p>
    <w:p>
      <w:pPr>
        <w:spacing w:after="0" w:line="225" w:lineRule="exact"/>
        <w:rPr>
          <w:sz w:val="20"/>
          <w:szCs w:val="20"/>
          <w:color w:val="auto"/>
        </w:rPr>
      </w:pPr>
    </w:p>
    <w:p>
      <w:pPr>
        <w:ind w:left="980" w:hanging="324"/>
        <w:spacing w:after="0" w:line="270" w:lineRule="auto"/>
        <w:tabs>
          <w:tab w:leader="none" w:pos="944"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Advertising and marketing revenues</w:t>
      </w:r>
      <w:r>
        <w:rPr>
          <w:rFonts w:ascii="Arial" w:cs="Arial" w:eastAsia="Arial" w:hAnsi="Arial"/>
          <w:sz w:val="17"/>
          <w:szCs w:val="17"/>
          <w:color w:val="auto"/>
        </w:rPr>
        <w:t>. Advertising and marketing revenues increased by 50% from $996.7 million in 2017 to $1,499.2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2018. Revenue from key accounts grew by 77% from $380.0 million in 2017 to $674.0 million in 2018, largely attributed to the increased diversity of Weibo’s advertising offerings and an increasing number of key account customers allocating more digital advertising budget to social marketing. Revenue from SMEs grew by 33% from $532.0 million in 2017 to $707.5 million in 2018, primarily attributed to the expansion of advertising inventory, new and upgraded advertisement products and features, and increase in user engagement. Revenue generated from Alibaba grew by 39% from $84.7 million in 2017 to $117.7 million in 2018, primarily attributed to Weibo being a key platform for Alibaba in the fields of e-commerce, marketing, fans accumulation and fans interaction. In 2018, mobile advertising revenue accounted for approximately 83% of our total advertising and marketing revenues, compared to 76% in 2017 due to the growth of both mobile users as well as advertiser preferences. Mobile MAUs in December 2018 increased by 19% year over year to 431 million. We expect our advertising and marketing revenues to continue to increase in absolute amount in 2019.</w:t>
      </w:r>
    </w:p>
    <w:p>
      <w:pPr>
        <w:spacing w:after="0" w:line="177" w:lineRule="exact"/>
        <w:rPr>
          <w:rFonts w:ascii="Arial" w:cs="Arial" w:eastAsia="Arial" w:hAnsi="Arial"/>
          <w:sz w:val="17"/>
          <w:szCs w:val="17"/>
          <w:color w:val="auto"/>
        </w:rPr>
      </w:pPr>
    </w:p>
    <w:p>
      <w:pPr>
        <w:ind w:left="980" w:right="180" w:hanging="324"/>
        <w:spacing w:after="0" w:line="273" w:lineRule="auto"/>
        <w:tabs>
          <w:tab w:leader="none" w:pos="944"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Value-added services revenues</w:t>
      </w:r>
      <w:r>
        <w:rPr>
          <w:rFonts w:ascii="Arial" w:cs="Arial" w:eastAsia="Arial" w:hAnsi="Arial"/>
          <w:sz w:val="17"/>
          <w:szCs w:val="17"/>
          <w:color w:val="auto"/>
        </w:rPr>
        <w:t>. Value-added services revenues increased by 43% from $153.3 million in 2017 to $219.3 million in 2018.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primarily attributed to the revenue growth of our VIP membership, which increased by 48% year over year from $66.2 million in 2017 to $98.2 million in 2018, primarily as a result of the increase of our user base, as well as to the Yizhibo live streaming business that we acquired in October 2018, which contributed $28.0 million live streaming revenue in 2018. Revenues from game-related services remained stable in 2018 compared to 2017, decreasing slightly by 1% from $27.6 million in 2017 to $27.3 million in 2018. We expect our value-added services revenues to continue to increase in absolute amount in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revenues increased by 75% from $655.8 million in 2016 to $1,150.1 million in 2017.</w:t>
      </w:r>
    </w:p>
    <w:p>
      <w:pPr>
        <w:spacing w:after="0" w:line="225" w:lineRule="exact"/>
        <w:rPr>
          <w:sz w:val="20"/>
          <w:szCs w:val="20"/>
          <w:color w:val="auto"/>
        </w:rPr>
      </w:pPr>
    </w:p>
    <w:p>
      <w:pPr>
        <w:ind w:left="980" w:hanging="324"/>
        <w:spacing w:after="0" w:line="270" w:lineRule="auto"/>
        <w:tabs>
          <w:tab w:leader="none" w:pos="944"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Advertising and marketing revenues</w:t>
      </w:r>
      <w:r>
        <w:rPr>
          <w:rFonts w:ascii="Arial" w:cs="Arial" w:eastAsia="Arial" w:hAnsi="Arial"/>
          <w:sz w:val="17"/>
          <w:szCs w:val="17"/>
          <w:color w:val="auto"/>
        </w:rPr>
        <w:t>. Advertising and marketing revenues increased by 75% from $571.0 million in 2016 to $996.7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2017. Revenue from key accounts grew by 85% from $205.2 million in 2016 to $380.0 million in 2017, largely attributed to the increased diversity of Weibo’s advertising offerings and an increasing number of key account customers allocating more digital advertising budget to social marketing. Revenue from SMEs grew by 73% from $307.9 million in 2016 to $532.0 million in 2017, primarily attributed to the expansion of advertising inventory, new and upgraded advertisement products and features, and increase in user engagement. Revenue generated from Alibaba grew by 46% from $57.9 million in 2016 to $84.7 million in 2017, primarily attributed to Weibo being a key platform for Alibaba in the fields of e-commerce, marketing, fans accumulation and fans interaction. In 2017, mobile advertising revenue accounted for approximately 76% of our total advertising and marketing revenues, compared to 67% in 2016 due to the growth of both mobile users as well as advertiser preferences. Mobile MAUs in December 2017 increased by 29% year over year to 363 million.</w:t>
      </w:r>
    </w:p>
    <w:p>
      <w:pPr>
        <w:spacing w:after="0" w:line="181" w:lineRule="exact"/>
        <w:rPr>
          <w:rFonts w:ascii="Arial" w:cs="Arial" w:eastAsia="Arial" w:hAnsi="Arial"/>
          <w:sz w:val="17"/>
          <w:szCs w:val="17"/>
          <w:color w:val="auto"/>
        </w:rPr>
      </w:pPr>
    </w:p>
    <w:p>
      <w:pPr>
        <w:ind w:left="980" w:right="100" w:hanging="324"/>
        <w:spacing w:after="0" w:line="257"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Value-added services revenues</w:t>
      </w:r>
      <w:r>
        <w:rPr>
          <w:rFonts w:ascii="Arial" w:cs="Arial" w:eastAsia="Arial" w:hAnsi="Arial"/>
          <w:sz w:val="18"/>
          <w:szCs w:val="18"/>
          <w:color w:val="auto"/>
        </w:rPr>
        <w:t>. Value-added services revenues increased by 81% from $84.8 million in 2016 to $153.3 million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attributed to the revenue growth of our VIP membership, which increased by 99% year over year from $33.3 million in 2016 to $66.2 million in 2017, primarily as a result of the increase of user base. Revenues from game-related services decreased by 11% from $30.9 million in 2016 to $27.6 million in 2017. The decline in game service revenue was mainly attributed to the unsatisfactory performance of licensed games, particularly on PC terminals.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costs and expenses consist of cost of revenues, sales and marketing, product development, general and administrative expenses, including costs and expenses allocated from SINA during the presented periods, as well as goodwill and acquired intangibles impairment. Cost of revenues consists mainly of costs associated with the maintenance of our platform, such as bandwidth and other infrastructure costs, as well as personnel-related expenses, stock-based compensation, content licensing fees, revenue-share cost and turnover taxes levied on our revenues. Sales and marketing expenses consist primarily of marketing and promotional expenses, personnel-related expenses, including commissions, outside services fees and stock-based compensation. Product development expenses consist primarily of personnel-related expenses, stock-based compensation, outside services fees and infrastructure cost incurred for new product development, product enhancements and back-end systems. General and administrative expenses consist primarily of personnel-related expenses, stock-based compensation professional services fees and bad debt allowance.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costs and expenses increased by 49% from $742.5 million in 2017 to $1,109.3 million in 2018.</w:t>
      </w:r>
    </w:p>
    <w:p>
      <w:pPr>
        <w:spacing w:after="0" w:line="225" w:lineRule="exact"/>
        <w:rPr>
          <w:sz w:val="20"/>
          <w:szCs w:val="20"/>
          <w:color w:val="auto"/>
        </w:rPr>
      </w:pPr>
    </w:p>
    <w:p>
      <w:pPr>
        <w:ind w:left="980" w:right="80" w:hanging="324"/>
        <w:spacing w:after="0" w:line="257"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Cost of revenues increased by 20% from $231.3 million in 2017 to $277.6 million in 2018. The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$53.5 million in revenue sharing cost primarily related to advertisement production and live streaming business, an increase of $16.9 million in content expenditure, and an increase of $13.3 million in labor cost, partially offset by a decrease of $44.8 million in turnover taxes due to the adoption of ASC 606, resulting VAT excluded from cost of revenues in 2018. We expect our cost of revenues to increase in absolute amount in the foreseeable future.</w:t>
      </w:r>
    </w:p>
    <w:p>
      <w:pPr>
        <w:spacing w:after="0" w:line="188" w:lineRule="exact"/>
        <w:rPr>
          <w:rFonts w:ascii="Arial" w:cs="Arial" w:eastAsia="Arial" w:hAnsi="Arial"/>
          <w:sz w:val="18"/>
          <w:szCs w:val="18"/>
          <w:color w:val="auto"/>
        </w:rPr>
      </w:pPr>
    </w:p>
    <w:p>
      <w:pPr>
        <w:ind w:left="980" w:right="120" w:hanging="324"/>
        <w:spacing w:after="0" w:line="297" w:lineRule="auto"/>
        <w:tabs>
          <w:tab w:leader="none" w:pos="944"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increased by 91% from $275.5 million in 2017 to $527.4 million in 2018.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an increase of $228.2 million in channel marketing spending and brand promotion of Weibo, which included $109.4 million sales and marketing expenses recognized for advertising barter transactions due the adoption of ASC 606, and an increase of $21.5 million in personnel-related expense, primarily due to a larger sales team as well as higher commissions arising from higher revenue achievements. We expect our sales and marketing expenses to increase in absolute amount in the foreseeable future.</w:t>
      </w:r>
    </w:p>
    <w:p>
      <w:pPr>
        <w:spacing w:after="0" w:line="158" w:lineRule="exact"/>
        <w:rPr>
          <w:rFonts w:ascii="Arial" w:cs="Arial" w:eastAsia="Arial" w:hAnsi="Arial"/>
          <w:sz w:val="16"/>
          <w:szCs w:val="16"/>
          <w:color w:val="auto"/>
        </w:rPr>
      </w:pPr>
    </w:p>
    <w:p>
      <w:pPr>
        <w:ind w:left="980" w:right="120" w:hanging="324"/>
        <w:spacing w:after="0" w:line="259"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Our product development expenses increased by 29% from $193.4 million in 2017 to $249.9 million in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an increase of $35.9 million in personnel-related expenses arising from a larger development team and higher salaries, and an increase of $17.3 million in infrastructure cost. We expect our product development expenses to increase in absolute amount in the foreseeable future.</w:t>
      </w:r>
    </w:p>
    <w:p>
      <w:pPr>
        <w:spacing w:after="0" w:line="186" w:lineRule="exact"/>
        <w:rPr>
          <w:rFonts w:ascii="Arial" w:cs="Arial" w:eastAsia="Arial" w:hAnsi="Arial"/>
          <w:sz w:val="18"/>
          <w:szCs w:val="18"/>
          <w:color w:val="auto"/>
        </w:rPr>
      </w:pPr>
    </w:p>
    <w:p>
      <w:pPr>
        <w:ind w:left="980" w:hanging="324"/>
        <w:spacing w:after="0" w:line="259"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increased slightly by 3% from $42.3 million in 2017 to $43.8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primarily due to an increase of $4.0 million in professional services, and an increase of $1.1 million in personnel-related expense, partially offset by an decrease of $4.7 million in stock-based compensation. We expect our general and administrative expenses to increase in absolute amount in the foreseeable future.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costs and expenses increased by 44% from $514.8 million in 2016 to $742.5 million in 2017.</w:t>
      </w:r>
    </w:p>
    <w:p>
      <w:pPr>
        <w:spacing w:after="0" w:line="225" w:lineRule="exact"/>
        <w:rPr>
          <w:sz w:val="20"/>
          <w:szCs w:val="20"/>
          <w:color w:val="auto"/>
        </w:rPr>
      </w:pPr>
    </w:p>
    <w:p>
      <w:pPr>
        <w:ind w:left="980" w:right="80" w:hanging="324"/>
        <w:spacing w:after="0" w:line="286" w:lineRule="auto"/>
        <w:tabs>
          <w:tab w:leader="none" w:pos="944"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increased by 35% from $171.2 million in 2016 to $231.3 million in 2017. The increase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$43.8 million in turnover taxes associated with higher revenues, an increase of $5.3 million in infrastructure-related costs resulting from traffic growth, and an increase of $3.9 million in revenue sharing cost primarily related to advertisement production.</w:t>
      </w:r>
    </w:p>
    <w:p>
      <w:pPr>
        <w:spacing w:after="0" w:line="165" w:lineRule="exact"/>
        <w:rPr>
          <w:rFonts w:ascii="Arial" w:cs="Arial" w:eastAsia="Arial" w:hAnsi="Arial"/>
          <w:sz w:val="17"/>
          <w:szCs w:val="17"/>
          <w:color w:val="auto"/>
        </w:rPr>
      </w:pPr>
    </w:p>
    <w:p>
      <w:pPr>
        <w:ind w:left="980" w:right="120" w:hanging="324"/>
        <w:spacing w:after="0" w:line="259" w:lineRule="auto"/>
        <w:tabs>
          <w:tab w:leader="none" w:pos="944"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increased by 86% from $148.3 million in 2016 to $275.5 million in 2017.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increase of $108.4 million in marketing and promotional expense due to more channel marketing spending and brand promotion of Weibo, and an increase of $12.8 million in personnel-related expense, primarily due to a larger sales team as well as higher commissions arising from higher revenue achievements.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86" w:lineRule="auto"/>
        <w:tabs>
          <w:tab w:leader="none" w:pos="944"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Product Development</w:t>
      </w:r>
      <w:r>
        <w:rPr>
          <w:rFonts w:ascii="Arial" w:cs="Arial" w:eastAsia="Arial" w:hAnsi="Arial"/>
          <w:sz w:val="17"/>
          <w:szCs w:val="17"/>
          <w:color w:val="auto"/>
        </w:rPr>
        <w:t>. Our product development expenses increased by 26% from $154.1 million in 2016 to $193.4 million in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primarily due to an increase of $23.7 million in personnel-related expense arising from a larger development team as well as higher salaries, an increase of $6.8 million in stock-based compensation, and an increase of $6.5 million in infrastructure cost.</w:t>
      </w:r>
    </w:p>
    <w:p>
      <w:pPr>
        <w:spacing w:after="0" w:line="165" w:lineRule="exact"/>
        <w:rPr>
          <w:rFonts w:ascii="Arial" w:cs="Arial" w:eastAsia="Arial" w:hAnsi="Arial"/>
          <w:sz w:val="17"/>
          <w:szCs w:val="17"/>
          <w:color w:val="auto"/>
        </w:rPr>
      </w:pPr>
    </w:p>
    <w:p>
      <w:pPr>
        <w:ind w:left="980" w:right="60" w:hanging="324"/>
        <w:spacing w:after="0" w:line="264" w:lineRule="auto"/>
        <w:tabs>
          <w:tab w:leader="none" w:pos="94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increased by 3% from $41.2 million in 2016 to $42.3 million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of $1.7 million in professional services, and an increase of $1.5 million in personnel-related expense, partially offset by an decrease of $2.3 million in bad debt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Related Impairment</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perform impairment assessments of our investments and determine if an investment is impaired due to changes in quoted market price or other impairment indicators. We recorded $40.2 million, $4.7 million and $24.1 million in investment related impairment charges in 2016, 2017 and 2018, respectively, as the investments were not performing to expectations or they became incapable of making repayments. The investment related impairment in 2018 mainly included an $11.9 million write-off on an online-reading business and a $9.7 million write-off on a company operating in game business.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breakdown of interest and other income net, including interests to or from related parties,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620" w:type="dxa"/>
            <w:vAlign w:val="bottom"/>
            <w:tcBorders>
              <w:bottom w:val="single" w:sz="8" w:color="auto"/>
            </w:tcBorders>
            <w:gridSpan w:val="5"/>
          </w:tcPr>
          <w:p>
            <w:pPr>
              <w:jc w:val="center"/>
              <w:ind w:left="978"/>
              <w:spacing w:after="0"/>
              <w:rPr>
                <w:sz w:val="20"/>
                <w:szCs w:val="20"/>
                <w:color w:val="auto"/>
              </w:rPr>
            </w:pPr>
            <w:r>
              <w:rPr>
                <w:rFonts w:ascii="Arial" w:cs="Arial" w:eastAsia="Arial" w:hAnsi="Arial"/>
                <w:sz w:val="14"/>
                <w:szCs w:val="14"/>
                <w:b w:val="1"/>
                <w:bCs w:val="1"/>
                <w:color w:val="auto"/>
                <w:w w:val="93"/>
              </w:rPr>
              <w:t>For the Year Ended December 31,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620" w:type="dxa"/>
            <w:vAlign w:val="bottom"/>
            <w:gridSpan w:val="5"/>
          </w:tcPr>
          <w:p>
            <w:pPr>
              <w:jc w:val="center"/>
              <w:ind w:left="978"/>
              <w:spacing w:after="0" w:line="142" w:lineRule="exact"/>
              <w:rPr>
                <w:sz w:val="20"/>
                <w:szCs w:val="20"/>
                <w:color w:val="auto"/>
              </w:rPr>
            </w:pPr>
            <w:r>
              <w:rPr>
                <w:rFonts w:ascii="Arial" w:cs="Arial" w:eastAsia="Arial" w:hAnsi="Arial"/>
                <w:sz w:val="14"/>
                <w:szCs w:val="14"/>
                <w:b w:val="1"/>
                <w:bCs w:val="1"/>
                <w:color w:val="auto"/>
                <w:w w:val="90"/>
              </w:rPr>
              <w:t>(in $ thousands, except percentage)</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19,453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57,971</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expenses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(4,196)</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(15,391)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2017</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had a net interest and other income of $43.8 million in 2018, compared to $13.3 million in 2017. The increase was mainly due to an increase of $38.5 million in interest income arising from a higher balance of cash, cash equivalents and short-term investments, partially offset by an increase of $12.7 million in interest expense arising from convertible debt.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Compared to 2016</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had a net interest and other income of $13.3 million in 2017, compared to $8.8 million in 2016. The increase was mainly due to an increase of $11.9 million in interest income arising from a higher balance of cash, cash equivalents and short-term investments, partially offset by the interest expense of $4.2 million and a decrease of $3.2 million in currency exchange gain.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of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reconciliation between the statutory EIT rate and the effective tax rate for China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20" w:type="dxa"/>
            <w:vAlign w:val="bottom"/>
            <w:tcBorders>
              <w:bottom w:val="single" w:sz="8" w:color="auto"/>
            </w:tcBorders>
            <w:gridSpan w:val="5"/>
          </w:tcPr>
          <w:p>
            <w:pPr>
              <w:jc w:val="center"/>
              <w:ind w:left="964"/>
              <w:spacing w:after="0"/>
              <w:rPr>
                <w:sz w:val="20"/>
                <w:szCs w:val="20"/>
                <w:color w:val="auto"/>
              </w:rPr>
            </w:pPr>
            <w:r>
              <w:rPr>
                <w:rFonts w:ascii="Arial" w:cs="Arial" w:eastAsia="Arial" w:hAnsi="Arial"/>
                <w:sz w:val="14"/>
                <w:szCs w:val="14"/>
                <w:b w:val="1"/>
                <w:bCs w:val="1"/>
                <w:color w:val="auto"/>
                <w:w w:val="92"/>
              </w:rPr>
              <w:t>For the Year Ended December 31,</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6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20" w:type="dxa"/>
            <w:vAlign w:val="bottom"/>
            <w:gridSpan w:val="5"/>
          </w:tcPr>
          <w:p>
            <w:pPr>
              <w:jc w:val="center"/>
              <w:ind w:left="964"/>
              <w:spacing w:after="0" w:line="142" w:lineRule="exact"/>
              <w:rPr>
                <w:sz w:val="20"/>
                <w:szCs w:val="20"/>
                <w:color w:val="auto"/>
              </w:rPr>
            </w:pPr>
            <w:r>
              <w:rPr>
                <w:rFonts w:ascii="Arial" w:cs="Arial" w:eastAsia="Arial" w:hAnsi="Arial"/>
                <w:sz w:val="14"/>
                <w:szCs w:val="14"/>
                <w:b w:val="1"/>
                <w:bCs w:val="1"/>
                <w:color w:val="auto"/>
                <w:w w:val="89"/>
              </w:rPr>
              <w:t>(in $ thousands, except percentage)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(benefits)/provision</w:t>
            </w:r>
          </w:p>
        </w:tc>
        <w:tc>
          <w:tcPr>
            <w:tcW w:w="3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(4,630)</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(1,503)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4,438</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Current income tax expenses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8,946</w:t>
            </w:r>
          </w:p>
        </w:tc>
        <w:tc>
          <w:tcPr>
            <w:tcW w:w="280" w:type="dxa"/>
            <w:vAlign w:val="bottom"/>
          </w:tcPr>
          <w:p>
            <w:pPr>
              <w:spacing w:after="0"/>
              <w:rPr>
                <w:sz w:val="18"/>
                <w:szCs w:val="18"/>
                <w:color w:val="auto"/>
              </w:rPr>
            </w:pP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68,249</w:t>
            </w:r>
          </w:p>
        </w:tc>
        <w:tc>
          <w:tcPr>
            <w:tcW w:w="3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91,784</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applicable to China operations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66,746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96,222</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Income from China operation</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170,173</w:t>
            </w:r>
          </w:p>
        </w:tc>
        <w:tc>
          <w:tcPr>
            <w:tcW w:w="280" w:type="dxa"/>
            <w:vAlign w:val="bottom"/>
          </w:tcPr>
          <w:p>
            <w:pPr>
              <w:spacing w:after="0"/>
              <w:rPr>
                <w:sz w:val="18"/>
                <w:szCs w:val="18"/>
                <w:color w:val="auto"/>
              </w:rPr>
            </w:pP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469,372</w:t>
            </w:r>
          </w:p>
        </w:tc>
        <w:tc>
          <w:tcPr>
            <w:tcW w:w="3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712,108</w:t>
            </w:r>
          </w:p>
        </w:tc>
        <w:tc>
          <w:tcPr>
            <w:tcW w:w="40" w:type="dxa"/>
            <w:vAlign w:val="bottom"/>
          </w:tcPr>
          <w:p>
            <w:pPr>
              <w:spacing w:after="0"/>
              <w:rPr>
                <w:sz w:val="18"/>
                <w:szCs w:val="18"/>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 for China operations</w:t>
            </w:r>
          </w:p>
        </w:tc>
        <w:tc>
          <w:tcPr>
            <w:tcW w:w="19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426"/>
        </w:trPr>
        <w:tc>
          <w:tcPr>
            <w:tcW w:w="4680" w:type="dxa"/>
            <w:vAlign w:val="bottom"/>
          </w:tcPr>
          <w:p>
            <w:pPr>
              <w:spacing w:after="0"/>
              <w:rPr>
                <w:sz w:val="24"/>
                <w:szCs w:val="24"/>
                <w:color w:val="auto"/>
              </w:rPr>
            </w:pP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93</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8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recorded income taxes of $4.3 million, $66.7 million and $96.2 million in 2016, 2017, and 2018, respectively. The increase in income taxes was in line with our revenue and net income growth. The provision for income taxes in 2016, 2017 and 2018 differs from the amounts computed by applying the statutory EIT rate primarily due to the qualification of Weibo Technology as a software enterprise. Weibo Technology was fully tax exempted in 2016, and was subject to a reduced enterprise income tax rate of 12.5% in 2017 and 2018. In 2016, Weibo Technology was tax exempted for $50.4 million. Weibo Technology enjoyed a tax reduction of $52.6 million and $77.2 million in 2017 and 2018, respectively, and also recognized the preferential tax treatment of $10.8 million of key software enterprise status for 2017 in 2018.</w:t>
      </w:r>
    </w:p>
    <w:p>
      <w:pPr>
        <w:spacing w:after="0" w:line="193" w:lineRule="exact"/>
        <w:rPr>
          <w:sz w:val="20"/>
          <w:szCs w:val="20"/>
          <w:color w:val="auto"/>
        </w:rPr>
      </w:pPr>
    </w:p>
    <w:p>
      <w:pPr>
        <w:ind w:left="720" w:hanging="712"/>
        <w:spacing w:after="0"/>
        <w:tabs>
          <w:tab w:leader="none" w:pos="7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and Working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movements of our cash and cash equivalents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600" w:type="dxa"/>
            <w:vAlign w:val="bottom"/>
            <w:tcBorders>
              <w:bottom w:val="single" w:sz="8" w:color="auto"/>
            </w:tcBorders>
            <w:gridSpan w:val="5"/>
          </w:tcPr>
          <w:p>
            <w:pPr>
              <w:jc w:val="center"/>
              <w:ind w:left="994"/>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tcPr>
          <w:p>
            <w:pPr>
              <w:jc w:val="center"/>
              <w:ind w:right="600"/>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236,244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539,151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488,007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(96,745)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(815,422)</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(254,032)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883,578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(15,208)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28,880</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636,187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380" w:type="dxa"/>
            <w:vAlign w:val="bottom"/>
          </w:tcPr>
          <w:p>
            <w:pPr>
              <w:jc w:val="right"/>
              <w:spacing w:after="0"/>
              <w:rPr>
                <w:sz w:val="20"/>
                <w:szCs w:val="20"/>
                <w:color w:val="auto"/>
              </w:rPr>
            </w:pPr>
            <w:r>
              <w:rPr>
                <w:rFonts w:ascii="Arial" w:cs="Arial" w:eastAsia="Arial" w:hAnsi="Arial"/>
                <w:sz w:val="18"/>
                <w:szCs w:val="18"/>
                <w:color w:val="auto"/>
              </w:rPr>
              <w:t>237,440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364,766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1,000,953</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year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364,766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1,000,953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1,234,596</w:t>
            </w:r>
          </w:p>
        </w:tc>
      </w:tr>
    </w:tbl>
    <w:p>
      <w:pPr>
        <w:spacing w:after="0" w:line="20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of December 31, 2016, 2017 and 2018, our total cash, cash equivalents and short-term investments were $396.0 million, $1,792.7 million and $1,825.9 million, respectively. Our principal sources of liquidity have been net proceeds from issuance of convertible notes and cash from operations.</w:t>
      </w:r>
    </w:p>
    <w:p>
      <w:pPr>
        <w:spacing w:after="0" w:line="12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increase in our cash, cash equivalents and short-term investments as of December 31, 2018 compared to that of December 31, 2017, was primarily due to $488.0 million cash provided by operating activities, maturities of short-term investments of $1,989.1 million, and proceeds from disposal and refund of long-term investments of $85.1 million, partially offset by purchase of short-term investments of $1,792.5 million, equity investment of $419.1 million, net loans to SINA of $48.4 million and cash paid of the acquisition of Yizhibo of $40.0 million. Of the $1,825.9 million in cash, cash equivalents and short-term investments as of December 31, 2018, our consolidated entities within China held $964.5 million, including $55.5 million held by our VIE and subsidiaries of VIE. The remaining cash balance was held by our entities outside China.</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increase in our cash, cash equivalents and short-term investments as of December 31, 2017 compared to that of December 31, 2016, was primarily due to $539.2 million cash provided by operating activities, and $879.3 million net proceeds from issuance of convertible notes, partially offset by equity investment of $54.6 million. Of the $1.79 billion in cash, cash equivalents and short-term investments as of December 31, 2017, our consolidated entities within China held $892.2 million, including $40.5 million held by our VIE and subsidiaries of VIE. The remaining cash balance was held by our entities outside China.</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believe that our existing cash, cash equivalents and short-term investments balance as of December 31, 2018 is sufficient to fund our operating activities, capital expenditures and other obligations for at least the next twelve months. However, we may decide to enhance our liquidity position or increase our cash reserve for future expansions and acquisitions through additional capital and/or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utilizing the cash that we hold offshore, we may (i) make additional capital contributions to our PRC subsidiary, (ii) establish new PRC subsidiaries and make capital contributions to these new PRC subsidiaries, (iii) make loans to our PRC subsidiaries, or (iv) acquire offshore entities with business operations in China in offshore transactions. However, most of these uses are subject to PRC regulations and/or approvals. For example, loans by us to our PRC subsidiaries, which are foreign-invested enterprise, to finance their activities cannot exceed statutory limits and must be registered with SAFE or its local branches. See “Item 4.B. Information on the Company—Business Overview—Regulation—Regulations on Foreign Exchange.”</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Substantially all of our future revenues are likely to continue to be in the form of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See “Item 3.D. Key Information—Risk Factors—Risks Relating to Doing Business in China— Restrictions on the remittance of RMB into and out of China and governmental control of currency conversion may limit our ability to pay dividends and other obligations, and affect the value of your investment.”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Net cash provided by operating activities in 2018 was $488.0 million. The difference between net cash provided by operating activities and our net income of $572.6 million in 2018 was primarily due to an increase of $64.3 million in accounts payable, an increase of $55.6 million in accrued and other liabilities, a non-cash charge of $41.0 million in stock-based compensation, and an increase of $24. 4 million in deferred revenues, partially offset by an increase of $109.7 million in accounts receivable due from third parties, an increase of $104.0 million in accounts receivable due from other related parties, an increase of $49.4 million in prepaid expenses and other current assets, an increase of $48.7 million in amount due from SINA, and a non-cash gain of $40.1 million in fair value changes through earnings on investments. The increase in accounts receivable in 2018 was in line with our revenue growth. The increase in accounts payable was primarily due to the increased payable for infrastructure cost, and revenue share payable for live streaming business. The accrued and other liabilities increased in 2018 primarily due to the increased payable for sales rebate.</w:t>
      </w:r>
    </w:p>
    <w:p>
      <w:pPr>
        <w:spacing w:after="0" w:line="17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Net cash provided by operating activities in 2017 was $539.2 million. The difference between net cash provided by operating activities and our net income of $350.4 million in 2017 was primarily due to an increase of $88.5 million in accrued and other liabilities, an increase of $62.3 million in income taxes payable, a non-cash charge of $48.0 million in stock-based compensation, an increase of $32.0 million in deferred revenues, an increase of $22.1 million in accounts payable, partially offset by an increase of $41.4 million in accounts receivable due from third parties, an increase of $28.1 million in prepaid expenses and other current assets, and an increase of $18.5 million in accounts receivable due from Alibaba. The accrued and other liabilities increased in 2017 because of the increased unpaid payroll and bonus amounts due to our employees, increased payable for marketing and promotional expenses, increased payable for sales rebate, and increased payable for turnover taxes. The increase in income taxes payable was due to higher profitability and the change in tax status of Weibo Technology in 2017 from being fully tax exempted to being subject to a reduced enterprise income tax rate of 12.5%. The increase in accounts receivable was in line with our revenue growth.</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Net cash provided by operating activities in 2016 was $236.2 million. The difference between net cash provided by operating activities and our net income of $105.7 million in 2016 was primarily due to an increase of $68.1 million in accrued and other liabilities, a non-cash charge of $40.2 million in investment related impairment, $36.9 million in stock-based compensation, a decrease of $29.8 million in accounts receivable due from Alibaba, $14.0 million in depreciation and amortization, and an increase of $9.5 million in deferred revenues, partially offset by an increase of $33.1 million in accounts receivable due from third parties, an increase of $30.8 million in amount due from SINA and an increase of $19.5 million in prepaid expenses and other current assets. The increase in accrued and other liabilities included larger unpaid payroll and bonus amounts due to employees, increased payable for marketing and promotional expenses, increased payable for sales rebate, increased payable for turnover taxes, and increased cash deposits in Weibo wallet by users. Depreciation and amortization were primarily related to the servers, computers and other office equipment that we have purchased for conducting our business. The increase in accounts receivable was in line with our revenue growth.</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cash used in investing activities in 2018 was $254.0 million. This was primarily due to purchase of short-term investments of $1,792.5 million, investment and prepayment in long-term investments of $419.1 million, net loans to SINA of $48.4 million, cash paid for the acquisition of Yizhibo live streaming business of $40.0 million, and purchase of property and equipment of $28.4 million, partially offset by the maturity of short-term investments of $1,989.1 million and proceeds from disposal and refund of long-term investments of $85.1 million.</w:t>
      </w:r>
    </w:p>
    <w:p>
      <w:pPr>
        <w:spacing w:after="0" w:line="18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Net cash used in investing activities in 2017 was $815.4 million. This was primarily due to purchase of short-term investments of $1.44 billion, investment and prepayment in long-term investments of $54.6 million, and purchase of property and equipment of $20.5 million, partially offset by the maturity of short-term investments of $696.2 million.</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Net cash used in investing activities in 2016 was $96.7 million. This was primarily due to the purchase of short-term investments of $314.4 million, investment and prepayment in long-term investments of $155.1 million, and purchases of property and equipment of $13.3 million, partially offset by the maturity of short-term investments of $373.8 million and $12.2 million in cash received from the disposal of and refund from long-term investments.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Net cash used in financing activities in 2018 was $1.4 million. This primarily consisted of a repayment of $2.0 million to SINA, partially offset by the proceeds from the exercise of employee stock options of $0.8 million.</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Net cash provided by financing activities in 2017 was $883.6 million. This consisted of net proceeds of $879.3 million from the issuance of convertible notes and exercise of employee stock options of $2.3 million.</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Net cash provided by financing activities in 2016 was $3.0 million. This consisted of proceeds from the exercise of employee stock options of $4.2 million, partially offset by payment to minority shareholders of $1.1 million.</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loans from SINA were presented under cash flow from financing activities, whereas the loans to SINA were presented under investing activities in the consolidated statements of cash flows. Cash payment for billings from SINA for costs and expenses allocated was presented under operating activities in the consolidated statements of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Weibo Corporation is a holding company that conducts its operations primarily through Weibo Technology, Weimeng, Weibo Interactive and their subsidiaries, all of which are incorporated in China. As a result, our ability to pay dividends depends upon dividends paid to us by Weibo Technology, our PRC subsidiary. If Weibo Technology or any newly formed subsidiaries of our company incur debt on their own behalf in the future, the instruments governing their debt may restrict their ability to pay dividends to us. In addition, Weibo Technology is permitted to pay dividends to us only out of its retained earnings, if any, as determined in accordance with PRC accounting standards and regulations. Under the PRC law, each of Weibo Technology, Weimeng and Weibo Interactive is required to set aside at least 10% of its after-tax profits each year, if any, to fund certain statutory reserve funds until such reserve funds reach 50% of its registered capital. In addition, each of Weibo Technology, Weimeng and Weibo Interactive may allocate a portion of its after-tax profits based on PRC accounting standards to staff welfare and bonus funds, a discretionary surplus fund and an enterprise expansion fund at its discretion or in accordance with its articles of association. These reserve funds and staff welfare and bonus funds are not distributable as cash dividends. As of December 31, 2018, the amount restricted, including paid-in capital, as determined in accordance with PRC accounting standards and regulations, was approximately $391.5 million. Although Weibo Technology has generated accumulated profits in 2018, it has not paid dividends in the past and currently has no plans to pay any dividend and plans to reinvest the profits into its PRC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capital expenditures primarily consist of purchases of servers, computers and other office equipment. Our capital expenditures were $13.3 million in 2016, $20.5 million in 2017 and $28.4 million in 2018. We will continue to make capital expenditures to meet the expected growth of our business and we intend to fund these purchases in the future with existing cash balance.</w:t>
      </w:r>
    </w:p>
    <w:p>
      <w:pPr>
        <w:spacing w:after="0" w:line="181" w:lineRule="exact"/>
        <w:rPr>
          <w:sz w:val="20"/>
          <w:szCs w:val="20"/>
          <w:color w:val="auto"/>
        </w:rPr>
      </w:pPr>
    </w:p>
    <w:p>
      <w:pPr>
        <w:ind w:left="720" w:hanging="712"/>
        <w:spacing w:after="0"/>
        <w:tabs>
          <w:tab w:leader="none" w:pos="7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Research and Development, Patents and Licenses, etc.</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Our success has benefited from our continuous efforts in protecting our intellectual property, including patents, trademarks, copyrights and trade secrets. See “Item 4.B. Information on the Company—Business Overview — Intellectual Property” for a description on the protection of our intellectual property.</w:t>
      </w:r>
    </w:p>
    <w:p>
      <w:pPr>
        <w:spacing w:after="0" w:line="181" w:lineRule="exact"/>
        <w:rPr>
          <w:sz w:val="20"/>
          <w:szCs w:val="20"/>
          <w:color w:val="auto"/>
        </w:rPr>
      </w:pPr>
    </w:p>
    <w:p>
      <w:pPr>
        <w:ind w:left="720" w:hanging="712"/>
        <w:spacing w:after="0"/>
        <w:tabs>
          <w:tab w:leader="none" w:pos="7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Trend Information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for the period from January 1, 2018 to December 31, 2018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147" w:lineRule="exact"/>
        <w:rPr>
          <w:sz w:val="20"/>
          <w:szCs w:val="20"/>
          <w:color w:val="auto"/>
        </w:rPr>
      </w:pPr>
    </w:p>
    <w:p>
      <w:pPr>
        <w:ind w:left="720" w:hanging="712"/>
        <w:spacing w:after="0"/>
        <w:tabs>
          <w:tab w:leader="none" w:pos="7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158" w:lineRule="exact"/>
        <w:rPr>
          <w:sz w:val="20"/>
          <w:szCs w:val="20"/>
          <w:color w:val="auto"/>
        </w:rPr>
      </w:pPr>
    </w:p>
    <w:p>
      <w:pPr>
        <w:ind w:left="680" w:hanging="672"/>
        <w:spacing w:after="0"/>
        <w:tabs>
          <w:tab w:leader="none" w:pos="6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Tabular Disclosure of 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contractual obligations as of Decemb</w:t>
      </w:r>
      <w:r>
        <w:rPr>
          <w:rFonts w:ascii="Arial" w:cs="Arial" w:eastAsia="Arial" w:hAnsi="Arial"/>
          <w:sz w:val="18"/>
          <w:szCs w:val="18"/>
          <w:i w:val="1"/>
          <w:iCs w:val="1"/>
          <w:color w:val="auto"/>
        </w:rPr>
        <w:t>e</w:t>
      </w:r>
      <w:r>
        <w:rPr>
          <w:rFonts w:ascii="Arial" w:cs="Arial" w:eastAsia="Arial" w:hAnsi="Arial"/>
          <w:sz w:val="18"/>
          <w:szCs w:val="18"/>
          <w:color w:val="auto"/>
        </w:rPr>
        <w:t>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Payment Due by Period</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Less than</w:t>
            </w:r>
          </w:p>
        </w:tc>
        <w:tc>
          <w:tcPr>
            <w:tcW w:w="1360" w:type="dxa"/>
            <w:vAlign w:val="bottom"/>
            <w:gridSpan w:val="2"/>
            <w:vMerge w:val="restart"/>
          </w:tcPr>
          <w:p>
            <w:pPr>
              <w:jc w:val="center"/>
              <w:ind w:left="137"/>
              <w:spacing w:after="0"/>
              <w:rPr>
                <w:sz w:val="20"/>
                <w:szCs w:val="20"/>
                <w:color w:val="auto"/>
              </w:rPr>
            </w:pPr>
            <w:r>
              <w:rPr>
                <w:rFonts w:ascii="Arial" w:cs="Arial" w:eastAsia="Arial" w:hAnsi="Arial"/>
                <w:sz w:val="14"/>
                <w:szCs w:val="14"/>
                <w:b w:val="1"/>
                <w:bCs w:val="1"/>
                <w:color w:val="auto"/>
                <w:w w:val="88"/>
              </w:rPr>
              <w:t>1-3</w:t>
            </w:r>
          </w:p>
        </w:tc>
        <w:tc>
          <w:tcPr>
            <w:tcW w:w="280" w:type="dxa"/>
            <w:vAlign w:val="bottom"/>
          </w:tcPr>
          <w:p>
            <w:pPr>
              <w:spacing w:after="0"/>
              <w:rPr>
                <w:sz w:val="10"/>
                <w:szCs w:val="10"/>
                <w:color w:val="auto"/>
              </w:rPr>
            </w:pPr>
          </w:p>
        </w:tc>
        <w:tc>
          <w:tcPr>
            <w:tcW w:w="11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than 5</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1 year</w:t>
            </w:r>
          </w:p>
        </w:tc>
        <w:tc>
          <w:tcPr>
            <w:tcW w:w="22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w:t>
            </w: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31,751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10,214</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19,544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1,993</w:t>
            </w:r>
          </w:p>
        </w:tc>
        <w:tc>
          <w:tcPr>
            <w:tcW w:w="1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Purchase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568,852</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564,339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4,394</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124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12,750</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22,500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909,750</w:t>
            </w:r>
          </w:p>
        </w:tc>
        <w:tc>
          <w:tcPr>
            <w:tcW w:w="12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1,545,603</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587,303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46,438</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911,862</w:t>
            </w:r>
          </w:p>
        </w:tc>
        <w:tc>
          <w:tcPr>
            <w:tcW w:w="280" w:type="dxa"/>
            <w:vAlign w:val="bottom"/>
          </w:tcPr>
          <w:p>
            <w:pPr>
              <w:spacing w:after="0"/>
              <w:rPr>
                <w:sz w:val="18"/>
                <w:szCs w:val="18"/>
                <w:color w:val="auto"/>
              </w:rPr>
            </w:pP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Operating lease obligations consist of the commitments under the lease agreements for our office premises. We lease our office facilities under non-cancelable operating leases with various expiration dates through 2023. Our leasing expense was $14.4 million, $9.2 million and $11.2 million for the years ended December 31, 2016, 2017 and 2018, respectively. The majority of our operating lease commitments are related to our office lease agreements in China.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 obligations primarily consist of minimum commitments for internet connection and marketing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2022 Notes represents future maximum commitment relating to the principal amount and interests in connection with the issuance of $900 million in aggregate principal amount of 1.25% coupon interest convertible senior notes, which will mature on November 15, 2022.</w:t>
      </w:r>
    </w:p>
    <w:p>
      <w:pPr>
        <w:spacing w:after="0" w:line="170" w:lineRule="exact"/>
        <w:rPr>
          <w:sz w:val="20"/>
          <w:szCs w:val="20"/>
          <w:color w:val="auto"/>
        </w:rPr>
      </w:pPr>
    </w:p>
    <w:p>
      <w:pPr>
        <w:ind w:left="740" w:hanging="732"/>
        <w:spacing w:after="0"/>
        <w:tabs>
          <w:tab w:leader="none" w:pos="7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Safe Harbor</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3.D. Key Information—Risk Factors,” “Item 4. Information on the Company” and “Item 5. Operating and Financial Review and Prospects.”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and similar expressions. Forward-looking statements involve inherent risks and uncertainties. You should not place undue reliance on these forward-looking statements.</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completely and with the understanding that our actual future results may be materially different from what we expect.</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9" w:lineRule="exact"/>
        <w:rPr>
          <w:sz w:val="20"/>
          <w:szCs w:val="20"/>
          <w:color w:val="auto"/>
        </w:rPr>
      </w:pPr>
    </w:p>
    <w:p>
      <w:pPr>
        <w:ind w:left="720" w:hanging="712"/>
        <w:spacing w:after="0"/>
        <w:tabs>
          <w:tab w:leader="none" w:pos="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Directors and Senior Management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information with respect to our directors and executive officers as of the date of this annual report. There are no family relationships among any of the directors or executive officers of our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00" w:type="dxa"/>
            <w:vAlign w:val="bottom"/>
          </w:tcPr>
          <w:p>
            <w:pPr>
              <w:spacing w:after="0"/>
              <w:rPr>
                <w:sz w:val="14"/>
                <w:szCs w:val="14"/>
                <w:color w:val="auto"/>
              </w:rPr>
            </w:pPr>
          </w:p>
        </w:tc>
        <w:tc>
          <w:tcPr>
            <w:tcW w:w="4180" w:type="dxa"/>
            <w:vAlign w:val="bottom"/>
            <w:gridSpan w:val="2"/>
          </w:tcPr>
          <w:p>
            <w:pPr>
              <w:ind w:left="16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Charles Chao</w:t>
            </w:r>
          </w:p>
        </w:tc>
        <w:tc>
          <w:tcPr>
            <w:tcW w:w="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30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Hong Du</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48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Yong Zhang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4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Pehong Chen</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480" w:type="dxa"/>
            <w:vAlign w:val="bottom"/>
            <w:gridSpan w:val="3"/>
          </w:tcPr>
          <w:p>
            <w:pPr>
              <w:ind w:left="300"/>
              <w:spacing w:after="0"/>
              <w:rPr>
                <w:sz w:val="20"/>
                <w:szCs w:val="20"/>
                <w:color w:val="auto"/>
              </w:rPr>
            </w:pPr>
            <w:r>
              <w:rPr>
                <w:rFonts w:ascii="Arial" w:cs="Arial" w:eastAsia="Arial" w:hAnsi="Arial"/>
                <w:sz w:val="18"/>
                <w:szCs w:val="18"/>
                <w:color w:val="auto"/>
              </w:rPr>
              <w:t>Independent 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Kui Tang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4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Independent 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Gaofei Wang</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480" w:type="dxa"/>
            <w:vAlign w:val="bottom"/>
            <w:gridSpan w:val="3"/>
          </w:tcPr>
          <w:p>
            <w:pPr>
              <w:ind w:left="300"/>
              <w:spacing w:after="0"/>
              <w:rPr>
                <w:sz w:val="20"/>
                <w:szCs w:val="20"/>
                <w:color w:val="auto"/>
              </w:rPr>
            </w:pPr>
            <w:r>
              <w:rPr>
                <w:rFonts w:ascii="Arial" w:cs="Arial" w:eastAsia="Arial" w:hAnsi="Arial"/>
                <w:sz w:val="18"/>
                <w:szCs w:val="18"/>
                <w:color w:val="auto"/>
              </w:rPr>
              <w:t>Chief Executive Officer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Yajuan Wang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4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Senior Vice President, Advertising Business</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Fei Cao</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480" w:type="dxa"/>
            <w:vAlign w:val="bottom"/>
            <w:gridSpan w:val="3"/>
          </w:tcPr>
          <w:p>
            <w:pPr>
              <w:ind w:left="300"/>
              <w:spacing w:after="0"/>
              <w:rPr>
                <w:sz w:val="20"/>
                <w:szCs w:val="20"/>
                <w:color w:val="auto"/>
              </w:rPr>
            </w:pPr>
            <w:r>
              <w:rPr>
                <w:rFonts w:ascii="Arial" w:cs="Arial" w:eastAsia="Arial" w:hAnsi="Arial"/>
                <w:sz w:val="18"/>
                <w:szCs w:val="18"/>
                <w:color w:val="auto"/>
              </w:rPr>
              <w:t>Vice President, Finance</w:t>
            </w:r>
          </w:p>
        </w:tc>
      </w:tr>
    </w:tbl>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Charles Chao </w:t>
      </w:r>
      <w:r>
        <w:rPr>
          <w:rFonts w:ascii="Arial" w:cs="Arial" w:eastAsia="Arial" w:hAnsi="Arial"/>
          <w:sz w:val="18"/>
          <w:szCs w:val="18"/>
          <w:color w:val="auto"/>
        </w:rPr>
        <w:t>has served as our Chairman of the board of directors since our inception. He has served as the Chairman of the board of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parent, SINA, since August 2012, and has been SINA’s Chief Executive Officer since May 2006. He served as SINA’s President from September 2005 to February 2013, Chief Financial Officer from February 2001 to May 2006, Co-Chief Operating Officer from July 2004 to September 2005. He also served as SINA’s Executive Vice President from April 2002 to June 2003 and Vice President, Finance from September 1999 to January 2001. Prior to joining SINA, Mr. Chao served as an audit manager at PricewaterhouseCoopers, LLP. Prior to that, Mr. Chao was a news correspondent at Shanghai Media Group. Mr. Chao is currently a director of Leju Holdings Ltd., an NYSE-listed company providing online-to-offline (O2O) real estate services in China, and a director of NetDragon Websoft Inc., an HKSE-listed company providing technology for online gaming. Mr. Chao holds a B.A. in Journalism from Fudan University in Shanghai, China, an M.A. in Journalism from the University of Oklahoma and a Master of Professional Accounting degree from the University of Texas at Austin.</w:t>
      </w:r>
    </w:p>
    <w:p>
      <w:pPr>
        <w:spacing w:after="0" w:line="19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i w:val="1"/>
          <w:iCs w:val="1"/>
          <w:color w:val="auto"/>
        </w:rPr>
        <w:t xml:space="preserve">Hong Du </w:t>
      </w:r>
      <w:r>
        <w:rPr>
          <w:rFonts w:ascii="Arial" w:cs="Arial" w:eastAsia="Arial" w:hAnsi="Arial"/>
          <w:sz w:val="16"/>
          <w:szCs w:val="16"/>
          <w:color w:val="auto"/>
        </w:rPr>
        <w:t>has served as our director since January 2014. Since February 2013, Ms. Du has served as SINA’s Co-President and Chief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Ms. Du joined SINA in November 1999 and worked in Business Development until April 2004. From May 2004 to January 2005, Ms. Du served as Deputy General Manager of 1Pai.com, a joint venture between SINA and Yahoo! Ms. Du rejoined SINA in January 2005 and served as the General Manager of Sales Strategy from January 2005 to March 2005, General Manager of Sales from April 2005 to August 2005, Vice President of Sales from</w:t>
      </w:r>
    </w:p>
    <w:p>
      <w:pPr>
        <w:spacing w:after="0" w:line="2"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September 2005 to February 2007, Senior Vice President of Sales and Marketing from February 2007 to February 2008, and Chief Operating Officer from February 2008 to February 2013. Ms. Du holds a B.S. in Applied Chemistry from Harbin Institute of Technology and an M.S. in management information systems from San Francisco State University.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Daniel Yong Zhang </w:t>
      </w:r>
      <w:r>
        <w:rPr>
          <w:rFonts w:ascii="Arial" w:cs="Arial" w:eastAsia="Arial" w:hAnsi="Arial"/>
          <w:sz w:val="16"/>
          <w:szCs w:val="16"/>
          <w:color w:val="auto"/>
        </w:rPr>
        <w:t>has served as our director since May 2014. Mr. Zhang has been Chief Executive Officer of Alibaba Group Holding Limited, a</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online and mobile commerce company listed on the NYSE, since May 2015, and has served as Alibaba’s director since September 2014. After joining Alibaba group in August 2007, Mr. Zhang served multiple senior management roles within the group. He served as Chief Operating Officer from September 2013 to May 2015, as President of Tmall.com from June 2011 to September 2013, and as Chief Financial Officer of Taobao Marketplace from August 2007 to June 2011 while concurrently served as General Manager of Tmall.com starting in April 2008 to June 2011. Prior to joining Alibaba,</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Mr. Zhang served as Chief Financial Officer of Shanda Interactive Entertainment Limited, an online game developer and operator then listed on NASDAQ, from August 2005 to August 2007. From 2002 to 2005, he was a senior manager of PricewaterhouseCoopers’ Audit and Business Advisory Division in Shanghai. He is a member of the WEF International Business Council and serves on the board of directors of the Consumer Goods Forum. Mr. Zhang received a bachelor’s degree in finance from Shanghai University of Finance and Economics.</w:t>
      </w:r>
    </w:p>
    <w:p>
      <w:pPr>
        <w:spacing w:after="0" w:line="19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Pehong Chen </w:t>
      </w:r>
      <w:r>
        <w:rPr>
          <w:rFonts w:ascii="Arial" w:cs="Arial" w:eastAsia="Arial" w:hAnsi="Arial"/>
          <w:sz w:val="16"/>
          <w:szCs w:val="16"/>
          <w:color w:val="auto"/>
        </w:rPr>
        <w:t>has served as our independent director since January 2016. Before that he served as a director of SINA between March 1999 and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2015. Mr. Chen has been the Chief Executive Officer, President and Chairman of the board of BroadVision Inc., a software applications company, since May 1993. Prior to founding BroadVision, Mr. Chen was Vice President of Multimedia Technology at Sybase, Inc., an enterprise software company, from 1992 to 1993. From 1989 to 1992, Mr. Chen founded and was President of Gain Technology, a multimedia software tools company, which was acquired by Sybase. He currently also serves at the board of director of Asian Art Museum. Mr. Chen received a B.S. in Computer Science from National Taiwan University, an M.S. in Computer Science from Indiana University and a Ph.D. in Computer Science from the University of California at Berkeley.</w:t>
      </w:r>
    </w:p>
    <w:p>
      <w:pPr>
        <w:spacing w:after="0" w:line="16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Frank Kui Tang </w:t>
      </w:r>
      <w:r>
        <w:rPr>
          <w:rFonts w:ascii="Arial" w:cs="Arial" w:eastAsia="Arial" w:hAnsi="Arial"/>
          <w:sz w:val="16"/>
          <w:szCs w:val="16"/>
          <w:color w:val="auto"/>
        </w:rPr>
        <w:t>has served as our independent director since April 2014. Mr. Tang is the Chairman and Chief Executive Officer of FountainVest</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a leading private equity firm dedicated to investments China. Prior to founding FountainVest Partners, from 2005 to 2007, Mr. Tang headed the China investments for Temasek Holdings as its senior managing director. From 1994 to 2005, Mr. Tang served various positions at Goldman Sachs, including Executive Director in Principal Investment Area and Managing Director and Head of Telecom, Media and Technology investment banking in Asia ex-Japan. Mr. Tang holds an M.B.A. degree from Columbia Business School and is a member of its Board of Overseers. He is also a board governor of the China Venture Capital and Private Equity Association and a director of Accenture, a NYSE-listed company providing business services.</w:t>
      </w:r>
    </w:p>
    <w:p>
      <w:pPr>
        <w:spacing w:after="0" w:line="16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i w:val="1"/>
          <w:iCs w:val="1"/>
          <w:color w:val="auto"/>
        </w:rPr>
        <w:t xml:space="preserve">Gaofei Wang </w:t>
      </w:r>
      <w:r>
        <w:rPr>
          <w:rFonts w:ascii="Arial" w:cs="Arial" w:eastAsia="Arial" w:hAnsi="Arial"/>
          <w:sz w:val="18"/>
          <w:szCs w:val="18"/>
          <w:color w:val="auto"/>
        </w:rPr>
        <w:t>has served as our Chief Executive Officer since February 2014. Since our inception, Mr. Wang has had various product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roles at Weibo and was promoted to General Manager in December 2012. Mr. Wang joined SINA in August 2000 and worked in the product development department until early 2004 when he transferred to the SINA Mobile division. He served as General Manager of SINA Mobile from November 2006 to November 2012. Mr. Wang holds a B.S. degree in Computer Science from Peking University and an EMBA degree from Guanghua School of Management of Peking University.</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i w:val="1"/>
          <w:iCs w:val="1"/>
          <w:color w:val="auto"/>
        </w:rPr>
        <w:t xml:space="preserve">Yajuan Wang </w:t>
      </w:r>
      <w:r>
        <w:rPr>
          <w:rFonts w:ascii="Arial" w:cs="Arial" w:eastAsia="Arial" w:hAnsi="Arial"/>
          <w:sz w:val="16"/>
          <w:szCs w:val="16"/>
          <w:color w:val="auto"/>
        </w:rPr>
        <w:t>has served as our Senior Vice President, Advertising Business since May 2018 and was our Vice President, Advertising Business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2017 to May 2018. From February 2014 to August 2017, Ms. Wang held the position of our Vice President, Sales. From May 2012 to February 2014, Ms. Wang held the position of Vice President, Business Operations at SINA. Prior to joining SINA, Ms. Wang worked at Baidu as Director of Business Operations from November 2008 to April 2012. Previously, Ms. Wang worked at Microsoft (China) as Customer/Partner Experience Manager from</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May 2003 to July 2004 and at China Hewlett-Packard from 1993 to 2002, mainly responsible for Customer Service Delivery. Ms. Wang holds a B.A. in Information Science and an EMBA degree from Peking University.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i w:val="1"/>
          <w:iCs w:val="1"/>
          <w:color w:val="auto"/>
        </w:rPr>
        <w:t xml:space="preserve">Fei Cao </w:t>
      </w:r>
      <w:r>
        <w:rPr>
          <w:rFonts w:ascii="Arial" w:cs="Arial" w:eastAsia="Arial" w:hAnsi="Arial"/>
          <w:sz w:val="16"/>
          <w:szCs w:val="16"/>
          <w:color w:val="auto"/>
        </w:rPr>
        <w:t>has served as our Vice President, Finance since August 2017. Prior to that, Ms. Cao was a Vice President of SINA from January 2017 to</w:t>
      </w:r>
      <w:r>
        <w:rPr>
          <w:rFonts w:ascii="Arial" w:cs="Arial" w:eastAsia="Arial" w:hAnsi="Arial"/>
          <w:sz w:val="16"/>
          <w:szCs w:val="16"/>
          <w:i w:val="1"/>
          <w:iCs w:val="1"/>
          <w:color w:val="auto"/>
        </w:rPr>
        <w:t xml:space="preserve"> </w:t>
      </w:r>
      <w:r>
        <w:rPr>
          <w:rFonts w:ascii="Arial" w:cs="Arial" w:eastAsia="Arial" w:hAnsi="Arial"/>
          <w:sz w:val="16"/>
          <w:szCs w:val="16"/>
          <w:color w:val="auto"/>
        </w:rPr>
        <w:t>July 2017 overseeing SINA’s finance department. Ms. Cao joined SINA in 2005 and served as the company’s Corporate Controller for more than ten years. Prior to joining SINA, she was an audit manager at the PricewaterhouseCoopers in Beijing. Ms. Cao holds a B.S. in engineering and an EMBA degree from Shanghai Jiaotong University. She is a certified public accountant in China and a member of the China Institute of Certified Public Accountants.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Two directors of our company are also executive officers of SINA and another director of our company is an executive officer of Alibaba. These relationships could create, or appear to create, conflicts of interest when these persons are faced with decisions with potentially different implications for SINA/Alibaba and us. If we have any conflicts of interest with SINA or Alibaba, we may not resolve such conflicts on favorable terms for us because of their significant ownership interest in us and the overlapping director and officer positions at both companies.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Daniel Yong Zhang was appointed as a director of our company pursuant to the Shareholders Agreement by Ali WB, SINA and us.</w:t>
      </w:r>
    </w:p>
    <w:p>
      <w:pPr>
        <w:spacing w:after="0" w:line="225" w:lineRule="exact"/>
        <w:rPr>
          <w:sz w:val="20"/>
          <w:szCs w:val="20"/>
          <w:color w:val="auto"/>
        </w:rPr>
      </w:pPr>
    </w:p>
    <w:p>
      <w:pPr>
        <w:ind w:left="720" w:hanging="712"/>
        <w:spacing w:after="0"/>
        <w:tabs>
          <w:tab w:leader="none" w:pos="7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For the year ended December 31, 2018, we paid an aggregate of approximately $2.7 million in cash and benefits to our executive officers, and we did not pay any cash compensation to our non-executive directors. For share incentive grants to our officers and directors, see “—Share Incentive Plans.” We have not set aside or accrued any amount to provide pension, retirement or other similar benefits to our executive officers and directors.</w:t>
      </w:r>
    </w:p>
    <w:p>
      <w:pPr>
        <w:spacing w:after="0" w:line="14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Our PRC subsidiaries and Weimeng are required by law to make contributions equal to certain percentages of each employee’s salary for his or her pension insurance, medical insurance, unemployment insurance and other statutory benefits and a housing provident fund.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entered into employment agreements with our senior executive officers. Pursuant to these agreements, we will be entitled to terminate a senior executive officer’s employment for cause at any time without remuneration for certain acts of the officer, such as being convicted of any criminal conduct, any act of gross or willful misconduct or any serious, willful, grossly negligent or persistent breach of any employment agreement provision, or engaging in any conduct which may make the continued employment of such officer detrimental to our company. In connection with the employment agreement, each senior executive officer has entered into an intellectual property ownership and confidentiality agreement and agreed to hold all information, know-how and records in any way connected with the products of our company, including, without limitation, all software and computer formulae, designs, specifications, drawings, data, manuals and instructions and all customer and supplier lists, sales and financial information, business plans and forecasts, all technical solutions and the trade secrets of our company, in strict confidence perpetually. Each officer has also agreed that we shall own all the intellectual property developed by such officer during his or her employment.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2010 Share Incentive Plan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adopted our 2010 Share Incentive Plan, or the 2010 Plan, in August 2010 to link the personal interests of our employees, directors and consultants to the success of our business. The maximum aggregate number of shares which may be issued under the 2010 Plan is 35,000,000 ordinary shares. In March 2014, the 2010 Plan was terminated and all ordinary shares reserved but unissued were transferred to the 2014 Plan. The following paragraphs summarize the terms of the 2010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Types of Awards</w:t>
      </w:r>
      <w:r>
        <w:rPr>
          <w:rFonts w:ascii="Arial" w:cs="Arial" w:eastAsia="Arial" w:hAnsi="Arial"/>
          <w:sz w:val="18"/>
          <w:szCs w:val="18"/>
          <w:color w:val="auto"/>
        </w:rPr>
        <w:t>. The 2010 Plan permits the awards of options, share appreciation rights, restricted shares and restricted share units.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b w:val="1"/>
          <w:bCs w:val="1"/>
          <w:i w:val="1"/>
          <w:iCs w:val="1"/>
          <w:color w:val="auto"/>
        </w:rPr>
        <w:t>Plan Administration</w:t>
      </w:r>
      <w:r>
        <w:rPr>
          <w:rFonts w:ascii="Arial" w:cs="Arial" w:eastAsia="Arial" w:hAnsi="Arial"/>
          <w:sz w:val="17"/>
          <w:szCs w:val="17"/>
          <w:color w:val="auto"/>
        </w:rPr>
        <w:t>. A committee consisting of at least two individuals determined by our board acts as the plan administrator. The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administrator will determine the participants who are to receive awards, the number of awards to be granted, and the terms and conditions of each award grant. The plan administrator can amend outstanding awards and interpret the terms of the 2010 Plan and any award agreement.</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Options to purchase ordinary shares granted under the 2010 Plan are evidenced by an award agreement that sets forth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conditions for each grant.</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The excises price of an option or a share appreciation right will be determined by the plan administrator. In certain circumstances,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a recapitalization, a spin-off, reorganization, merger, separation and split-up, the plan administrator may adjust the exercise price of outstanding options and share appreciation rights.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employees, directors or consultants or employees, directors or consultants of our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Term of the Awards</w:t>
      </w:r>
      <w:r>
        <w:rPr>
          <w:rFonts w:ascii="Arial" w:cs="Arial" w:eastAsia="Arial" w:hAnsi="Arial"/>
          <w:sz w:val="16"/>
          <w:szCs w:val="16"/>
          <w:color w:val="auto"/>
        </w:rPr>
        <w:t>. The term of each option or share appreciation right granted under the 2010 Plan shall not exceed ten years from date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In general, the plan administrator determines the vesting schedule, which is set forth in the award agreement.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b w:val="1"/>
          <w:bCs w:val="1"/>
          <w:i w:val="1"/>
          <w:iCs w:val="1"/>
          <w:color w:val="auto"/>
        </w:rPr>
        <w:t>Acceleration of Awards upon Change in Control</w:t>
      </w:r>
      <w:r>
        <w:rPr>
          <w:rFonts w:ascii="Arial" w:cs="Arial" w:eastAsia="Arial" w:hAnsi="Arial"/>
          <w:sz w:val="18"/>
          <w:szCs w:val="18"/>
          <w:color w:val="auto"/>
        </w:rPr>
        <w:t>. The plan administrator may determine, at the time of grant or thereafter, that an award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vested and exercisable, in full or in part, in the event that a change in control of our company occurs.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The plan shall terminate on August 15, 2020 provided that our board may terminate the plan at any time and for any reason.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Share Incentive Plan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adopted our 2014 Share Incentive Plan, or the 2014 Plan, in March 2014. Ordinary shares reserved but unissued under the 2010 Plan have been transferred to the 2014 Plan. Since the adoption of the 2014 Plan, we have not issued and will not issue any share incentive awards under the 2010 Plan. The maximum aggregate number of shares which may be issued pursuant to all awards under the 2014 Plan is 5,647,872, being the number of shares initially reserved under the 2014 Plan, plus the amount equal to 10% of the total number of our ordinary shares on an as-converted and fully diluted basis as of December 31, 2014. As of December 31, 2018, no option was granted and 2,760,415 restricted share units have been granted and are outstanding. The following paragraphs summarize the terms of the 2014 Plan.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Types of Awards</w:t>
      </w:r>
      <w:r>
        <w:rPr>
          <w:rFonts w:ascii="Arial" w:cs="Arial" w:eastAsia="Arial" w:hAnsi="Arial"/>
          <w:sz w:val="18"/>
          <w:szCs w:val="18"/>
          <w:color w:val="auto"/>
        </w:rPr>
        <w:t>. The 2014 Plan permits the awards of options, restricted shares and restricted share units.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Our board or a committee of one or more members of our board duly authorized for the purpose of the 2014 Plan can act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administrator.</w:t>
      </w:r>
    </w:p>
    <w:p>
      <w:pPr>
        <w:spacing w:after="0" w:line="166"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i w:val="1"/>
          <w:iCs w:val="1"/>
          <w:color w:val="auto"/>
        </w:rPr>
        <w:t>Award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restricted shares or restricted share units granted under the 2014 Plan are evidenced by an award agreement that 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the terms, conditions and limitations for each grant.</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b w:val="1"/>
          <w:bCs w:val="1"/>
          <w:i w:val="1"/>
          <w:iCs w:val="1"/>
          <w:color w:val="auto"/>
        </w:rPr>
        <w:t>Exercise Price and Purchase Price</w:t>
      </w:r>
      <w:r>
        <w:rPr>
          <w:rFonts w:ascii="Arial" w:cs="Arial" w:eastAsia="Arial" w:hAnsi="Arial"/>
          <w:sz w:val="16"/>
          <w:szCs w:val="16"/>
          <w:color w:val="auto"/>
        </w:rPr>
        <w:t>. The exercise price in respect of any option shall be determined by the plan administrator and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agreement which may be a fixed or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employees, consultants or directors, employees of our parent company and subsidiaries or consultants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Term of the Awards</w:t>
      </w:r>
      <w:r>
        <w:rPr>
          <w:rFonts w:ascii="Arial" w:cs="Arial" w:eastAsia="Arial" w:hAnsi="Arial"/>
          <w:sz w:val="18"/>
          <w:szCs w:val="18"/>
          <w:color w:val="auto"/>
        </w:rPr>
        <w:t>. The 2014 Plan shall be valid and effective for a period of ten years from the date of effectiveness. The term of each option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exceed ten years from the date of the grant.</w:t>
      </w:r>
    </w:p>
    <w:p>
      <w:pPr>
        <w:spacing w:after="0" w:line="16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the plan administrator determines the vesting schedule, which is set forth in the award agreement with each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recipient.</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Unless otherwise provided by applicable law and by the award agreement, awards under the 2014 Plan may not be transferred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any manner by the award holders and may be exercised only by such holders, subject to limited exceptions.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The plan administrator may at any time terminate the operation of the 2014 Plan.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as of March 31, 2019, the outstanding options and restricted share units that we granted to our directors, executive officers and other grantees in the aggregate under the 2010 Plan and the 2014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347"/>
              <w:spacing w:after="0"/>
              <w:rPr>
                <w:sz w:val="20"/>
                <w:szCs w:val="20"/>
                <w:color w:val="auto"/>
              </w:rPr>
            </w:pPr>
            <w:r>
              <w:rPr>
                <w:rFonts w:ascii="Arial" w:cs="Arial" w:eastAsia="Arial" w:hAnsi="Arial"/>
                <w:sz w:val="14"/>
                <w:szCs w:val="14"/>
                <w:b w:val="1"/>
                <w:bCs w:val="1"/>
                <w:color w:val="auto"/>
                <w:w w:val="95"/>
              </w:rPr>
              <w:t>Ordinary Shares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67"/>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47"/>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47"/>
              <w:spacing w:after="0" w:line="149" w:lineRule="exact"/>
              <w:rPr>
                <w:sz w:val="20"/>
                <w:szCs w:val="20"/>
                <w:color w:val="auto"/>
              </w:rPr>
            </w:pPr>
            <w:r>
              <w:rPr>
                <w:rFonts w:ascii="Arial" w:cs="Arial" w:eastAsia="Arial" w:hAnsi="Arial"/>
                <w:sz w:val="14"/>
                <w:szCs w:val="14"/>
                <w:b w:val="1"/>
                <w:bCs w:val="1"/>
                <w:color w:val="auto"/>
                <w:w w:val="92"/>
              </w:rPr>
              <w:t>Options and</w:t>
            </w:r>
          </w:p>
        </w:tc>
        <w:tc>
          <w:tcPr>
            <w:tcW w:w="14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Exercise Price</w:t>
            </w: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80" w:type="dxa"/>
            <w:vAlign w:val="bottom"/>
            <w:gridSpan w:val="2"/>
          </w:tcPr>
          <w:p>
            <w:pPr>
              <w:jc w:val="center"/>
              <w:ind w:right="347"/>
              <w:spacing w:after="0" w:line="149" w:lineRule="exact"/>
              <w:rPr>
                <w:sz w:val="20"/>
                <w:szCs w:val="20"/>
                <w:color w:val="auto"/>
              </w:rPr>
            </w:pPr>
            <w:r>
              <w:rPr>
                <w:rFonts w:ascii="Arial" w:cs="Arial" w:eastAsia="Arial" w:hAnsi="Arial"/>
                <w:sz w:val="14"/>
                <w:szCs w:val="14"/>
                <w:b w:val="1"/>
                <w:bCs w:val="1"/>
                <w:color w:val="auto"/>
                <w:w w:val="93"/>
              </w:rPr>
              <w:t>Restricted</w:t>
            </w:r>
          </w:p>
        </w:tc>
        <w:tc>
          <w:tcPr>
            <w:tcW w:w="1440" w:type="dxa"/>
            <w:vAlign w:val="bottom"/>
            <w:gridSpan w:val="2"/>
            <w:vMerge w:val="continue"/>
          </w:tcPr>
          <w:p>
            <w:pPr>
              <w:spacing w:after="0"/>
              <w:rPr>
                <w:sz w:val="12"/>
                <w:szCs w:val="12"/>
                <w:color w:val="auto"/>
              </w:rPr>
            </w:pPr>
          </w:p>
        </w:tc>
        <w:tc>
          <w:tcPr>
            <w:tcW w:w="2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347"/>
              <w:spacing w:after="0"/>
              <w:rPr>
                <w:sz w:val="20"/>
                <w:szCs w:val="20"/>
                <w:color w:val="auto"/>
              </w:rPr>
            </w:pPr>
            <w:r>
              <w:rPr>
                <w:rFonts w:ascii="Arial" w:cs="Arial" w:eastAsia="Arial" w:hAnsi="Arial"/>
                <w:sz w:val="14"/>
                <w:szCs w:val="14"/>
                <w:b w:val="1"/>
                <w:bCs w:val="1"/>
                <w:color w:val="auto"/>
                <w:w w:val="92"/>
              </w:rPr>
              <w:t>Share Units</w:t>
            </w: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w:t>
            </w:r>
          </w:p>
        </w:tc>
        <w:tc>
          <w:tcPr>
            <w:tcW w:w="2360" w:type="dxa"/>
            <w:vAlign w:val="bottom"/>
            <w:gridSpan w:val="2"/>
            <w:vMerge w:val="continue"/>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Charles Chao</w:t>
            </w:r>
          </w:p>
        </w:tc>
        <w:tc>
          <w:tcPr>
            <w:tcW w:w="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jc w:val="right"/>
              <w:ind w:right="227"/>
              <w:spacing w:after="0"/>
              <w:rPr>
                <w:sz w:val="20"/>
                <w:szCs w:val="20"/>
                <w:color w:val="auto"/>
              </w:rPr>
            </w:pPr>
            <w:r>
              <w:rPr>
                <w:rFonts w:ascii="Arial" w:cs="Arial" w:eastAsia="Arial" w:hAnsi="Arial"/>
                <w:sz w:val="11"/>
                <w:szCs w:val="11"/>
                <w:color w:val="auto"/>
                <w:w w:val="74"/>
              </w:rPr>
              <w:t>(1)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5, 2016</w:t>
            </w: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November 22, 2018</w:t>
            </w: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Hong Du</w:t>
            </w:r>
          </w:p>
        </w:tc>
        <w:tc>
          <w:tcPr>
            <w:tcW w:w="1980" w:type="dxa"/>
            <w:vAlign w:val="bottom"/>
            <w:gridSpan w:val="3"/>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22, 2018</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Pehong Chen</w:t>
            </w:r>
          </w:p>
        </w:tc>
        <w:tc>
          <w:tcPr>
            <w:tcW w:w="19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May 5, 2016</w:t>
            </w: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November 22, 2018</w:t>
            </w: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Frank Kui Tang</w:t>
            </w:r>
          </w:p>
        </w:tc>
        <w:tc>
          <w:tcPr>
            <w:tcW w:w="1980" w:type="dxa"/>
            <w:vAlign w:val="bottom"/>
            <w:gridSpan w:val="3"/>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22, 2018</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Gaofei Wang</w:t>
            </w:r>
          </w:p>
        </w:tc>
        <w:tc>
          <w:tcPr>
            <w:tcW w:w="19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May 5, 2016</w:t>
            </w: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November 22, 2018</w:t>
            </w: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Yajuan Wang</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0"/>
              </w:rPr>
              <w:t>From January 28, 2015 to</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80" w:type="dxa"/>
            <w:vAlign w:val="bottom"/>
            <w:gridSpan w:val="3"/>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27, 2018</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980" w:type="dxa"/>
            <w:vAlign w:val="bottom"/>
            <w:gridSpan w:val="3"/>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22, 2018</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Fei Cao</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0"/>
              </w:rPr>
              <w:t>From January 28, 2015 to</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May 21, 2018</w:t>
            </w: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November 22, 2018</w:t>
            </w: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Other grantees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From November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From $3.25 to</w:t>
            </w: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From November 30, 2012 to</w:t>
            </w: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2019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80" w:type="dxa"/>
            <w:vAlign w:val="bottom"/>
            <w:gridSpan w:val="3"/>
          </w:tcPr>
          <w:p>
            <w:pPr>
              <w:jc w:val="right"/>
              <w:ind w:right="34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30, 2013</w:t>
            </w: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From January 28, 2015 to</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980" w:type="dxa"/>
            <w:vAlign w:val="bottom"/>
            <w:gridSpan w:val="3"/>
          </w:tcPr>
          <w:p>
            <w:pPr>
              <w:jc w:val="right"/>
              <w:ind w:right="227"/>
              <w:spacing w:after="0"/>
              <w:rPr>
                <w:sz w:val="20"/>
                <w:szCs w:val="20"/>
                <w:color w:val="auto"/>
              </w:rPr>
            </w:pPr>
            <w:r>
              <w:rPr>
                <w:rFonts w:ascii="Arial" w:cs="Arial" w:eastAsia="Arial" w:hAnsi="Arial"/>
                <w:sz w:val="18"/>
                <w:szCs w:val="18"/>
                <w:color w:val="auto"/>
              </w:rPr>
              <w:t>2,421,271</w:t>
            </w:r>
            <w:r>
              <w:rPr>
                <w:rFonts w:ascii="Arial" w:cs="Arial" w:eastAsia="Arial" w:hAnsi="Arial"/>
                <w:sz w:val="11"/>
                <w:szCs w:val="11"/>
                <w:color w:val="auto"/>
              </w:rPr>
              <w:t>(1)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March 27, 2019</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3,417,161</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than one percent of our total outstanding shares.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Restricted share units.</w:t>
      </w:r>
    </w:p>
    <w:p>
      <w:pPr>
        <w:spacing w:after="0" w:line="225" w:lineRule="exact"/>
        <w:rPr>
          <w:sz w:val="20"/>
          <w:szCs w:val="20"/>
          <w:color w:val="auto"/>
        </w:rPr>
      </w:pPr>
    </w:p>
    <w:p>
      <w:pPr>
        <w:ind w:left="720" w:hanging="712"/>
        <w:spacing w:after="0"/>
        <w:tabs>
          <w:tab w:leader="none" w:pos="7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Board Practices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board of directors consists of five directors. A director is not required to hold any shares in our company to qualify to serve as a director. A director who to his knowledge is in any way, whether directly or indirectly, interested in a contract or arrangement or proposed contract or arrangement with our company is required to declare the nature of his interest at the meeting of our board at which the question of entering into the contract or arrangement is first considered, if he knows his interest then exists, or in any other case at the first meeting of our board after he knows that he is or has become so interested. Following such a declaration being made, subject to any separate requirement for audit committee approval under applicable law or the Listing Rules of the NASDAQ Stock Market, and unless disqualified by the chairman of the relevant board meeting, a director may vote in respect of any contract or proposed contract or arrangement in which such director is interested and may be counted in the quorum at such meeting. Our board of directors may exercise all our powers of the company to raise or borrow or to secure the payment of any sum or sums of money for the purposes of our company and to mortgage or charge our undertaking, property and assets (present and future) and uncalled capital or any part thereof.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have established an audit committee and a compensation committee under the board of directors and adopted a charter for each of these committees. Each committee’s members and functions are described below.</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consists of Mr. Frank Kui Tang and Mr. Pehong Chen, and is chaired by Mr. Tang. Mr. Tang and Mr. Chen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satisfy the “independence” requirements of Rule 5605(c)(2) of the Listing Rules of the NASDAQ Stock Market and meet the independence standards under Rule 10A-3 under the Exchange Act. We have determined that Mr. Tang qualifies as an “audit committee financial expert.” As a Cayman corporation, we are permitted to rely on the home country exemption under NASDAQ rules to reduce the size of our audit committee to two members. An audit committee of two independent directors would satisfy Rule 5605(c)(2). We have elected to follow home country practice in terms of the number of audit committee members.</w:t>
      </w:r>
    </w:p>
    <w:p>
      <w:pPr>
        <w:spacing w:after="0" w:line="2"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audit committee oversees our accounting and financial reporting processes and the audits of the financial statements of our company. The audit committee is responsible for, among other things:</w:t>
      </w:r>
    </w:p>
    <w:p>
      <w:pPr>
        <w:spacing w:after="0" w:line="184" w:lineRule="exact"/>
        <w:rPr>
          <w:sz w:val="20"/>
          <w:szCs w:val="20"/>
          <w:color w:val="auto"/>
        </w:rPr>
      </w:pPr>
    </w:p>
    <w:p>
      <w:pPr>
        <w:ind w:left="980" w:right="160" w:hanging="324"/>
        <w:spacing w:after="0" w:line="277" w:lineRule="auto"/>
        <w:tabs>
          <w:tab w:leader="none" w:pos="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consists of Mr. Pehong Chen and Mr. Frank Kui Tang, and is chaired by Mr. Chen.</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Mr. Chen and Mr. Tang satisfy the “independence” requirements of Rule5605(a)(2)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90" w:lineRule="exact"/>
        <w:rPr>
          <w:sz w:val="20"/>
          <w:szCs w:val="20"/>
          <w:color w:val="auto"/>
        </w:rPr>
      </w:pPr>
    </w:p>
    <w:p>
      <w:pPr>
        <w:ind w:left="940" w:hanging="284"/>
        <w:spacing w:after="0"/>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Under Cayman Islands law, our directors owe fiduciary duties to our company, including a duty of loyalty, a duty to act honestly, and a duty to act in what they consider in good faith to be in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and the class rights vested thereunder in the holders of the shares. We have the right to seek damages if a duty owed by our directors is breached. In limited exceptional circumstances, a shareholder may have the right to seek damages in our name if a duty owed by our directors is breached. You should refer to “Item 10.B. Additional Information—Memorandum and Articles of Association—Differences in Corporate Law” for additional information on our standard of corporate governance under Cayman Islands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229"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officers are elected by and serve at the discretion of the board. Our directors may be appointed by the board or by the shareholders through ordinary resolutions. Any director appointed by the board to fill a vacancy or as a new addition to the board shall hold office only until our next annual general meeting and shall then be eligible for re-election at that meeting. After the completion of our initial public offering, at each annual general meeting of our company, one-third of our directors at the time,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be determined by lot, unless they otherwise agree between themselves. A retiring director shall retain office until the close of the meeting at which he retires, and shall be eligible for re-election at the annual general meeting. A director may be removed at any time before the expiration of his period of office by an ordinary resolution of our shareholders. A director will be removed from office automatically if, among other things, the director (1) becomes bankrupt or has a receiving order made against him or suspends payment or compounds with his creditors generally; (2) dies or an order is made by any competent court or official on the grounds that he is or may be suffering from mental disorder or is otherwise incapable of managing his affairs and the board of directors resolves that his office be vacated; (3) without leave, is absent from meetings of the board for a continuous period of 12 months, and the board resolves that his office be vacated; (4) ceases to be or is prohibited from being a director by law or by virtue of any provisions in our articles of association; or (5) is removed from office by notice in writing served upon him signed by not less than three-fourths in number (or, if that is not a round number, the nearest lower round number) of our directors (including himself) then in office. In addition, Ali WB has obtained certain board representation rights. See “Item 7.B. Major Shareholders and Related Party Transactions—Related Party Transactions—Our Relationship with Alibaba.”</w:t>
      </w:r>
    </w:p>
    <w:p>
      <w:pPr>
        <w:spacing w:after="0" w:line="181" w:lineRule="exact"/>
        <w:rPr>
          <w:sz w:val="20"/>
          <w:szCs w:val="20"/>
          <w:color w:val="auto"/>
        </w:rPr>
      </w:pPr>
    </w:p>
    <w:p>
      <w:pPr>
        <w:ind w:left="720" w:hanging="712"/>
        <w:spacing w:after="0"/>
        <w:tabs>
          <w:tab w:leader="none" w:pos="7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We had 3,062, 3,361 and 4,350 employees, respectively as of December 31, 2016, 2017 and 2018. Our employees are mainly based in Beijing, Shanghai, Tianjin, Chengdu, Guangzhou and Hangzhou. The following table sets forth the numbers of our employees categorized by function as of December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color w:val="auto"/>
              </w:rPr>
              <w:t>Function:</w:t>
            </w:r>
          </w:p>
        </w:tc>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 Employees</w:t>
            </w:r>
          </w:p>
        </w:tc>
        <w:tc>
          <w:tcPr>
            <w:tcW w:w="40" w:type="dxa"/>
            <w:vAlign w:val="bottom"/>
          </w:tcPr>
          <w:p>
            <w:pPr>
              <w:spacing w:after="0"/>
              <w:rPr>
                <w:sz w:val="14"/>
                <w:szCs w:val="14"/>
                <w:color w:val="auto"/>
              </w:rPr>
            </w:pP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4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Sales, customer service and marketing</w:t>
            </w:r>
          </w:p>
        </w:tc>
        <w:tc>
          <w:tcPr>
            <w:tcW w:w="7020" w:type="dxa"/>
            <w:vAlign w:val="bottom"/>
            <w:gridSpan w:val="4"/>
          </w:tcPr>
          <w:p>
            <w:pPr>
              <w:jc w:val="right"/>
              <w:ind w:right="100"/>
              <w:spacing w:after="0"/>
              <w:rPr>
                <w:sz w:val="20"/>
                <w:szCs w:val="20"/>
                <w:color w:val="auto"/>
              </w:rPr>
            </w:pPr>
            <w:r>
              <w:rPr>
                <w:rFonts w:ascii="Arial" w:cs="Arial" w:eastAsia="Arial" w:hAnsi="Arial"/>
                <w:sz w:val="18"/>
                <w:szCs w:val="18"/>
                <w:color w:val="auto"/>
              </w:rPr>
              <w:t>1,175</w:t>
            </w: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7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General administration and human resources</w:t>
            </w:r>
          </w:p>
        </w:tc>
        <w:tc>
          <w:tcPr>
            <w:tcW w:w="7020" w:type="dxa"/>
            <w:vAlign w:val="bottom"/>
            <w:gridSpan w:val="4"/>
          </w:tcPr>
          <w:p>
            <w:pPr>
              <w:jc w:val="right"/>
              <w:ind w:right="10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4,350</w:t>
            </w:r>
          </w:p>
        </w:tc>
        <w:tc>
          <w:tcPr>
            <w:tcW w:w="40" w:type="dxa"/>
            <w:vAlign w:val="bottom"/>
          </w:tcPr>
          <w:p>
            <w:pPr>
              <w:spacing w:after="0"/>
              <w:rPr>
                <w:sz w:val="18"/>
                <w:szCs w:val="18"/>
                <w:color w:val="auto"/>
              </w:rPr>
            </w:pPr>
          </w:p>
        </w:tc>
      </w:tr>
      <w:tr>
        <w:trPr>
          <w:trHeight w:val="432"/>
        </w:trPr>
        <w:tc>
          <w:tcPr>
            <w:tcW w:w="4400" w:type="dxa"/>
            <w:vAlign w:val="bottom"/>
          </w:tcPr>
          <w:p>
            <w:pPr>
              <w:spacing w:after="0"/>
              <w:rPr>
                <w:sz w:val="24"/>
                <w:szCs w:val="24"/>
                <w:color w:val="auto"/>
              </w:rPr>
            </w:pPr>
          </w:p>
        </w:tc>
        <w:tc>
          <w:tcPr>
            <w:tcW w:w="4920" w:type="dxa"/>
            <w:vAlign w:val="bottom"/>
          </w:tcPr>
          <w:p>
            <w:pPr>
              <w:jc w:val="right"/>
              <w:ind w:right="339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0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employee numbers in this “Item 6.D. Directors, Senior Management and Employees—Employees” section do not include employees of SINA who spend part of their time working for our business and who have part of their staff-related expenses allocated to us.</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required by laws and regulations in China, we participate in various employee social security plans that are organized by municipal and provincial governments, including housing, pension, medical insurance and unemployment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typically enter into standard confidentiality and employment agreements with our management and product development personnel. These contracts include a standard non-compete covenant that prohibits the employee from competing with us, directly or indirectly, during his or her employment and for one year after the termination of his or her employment, provided that we pay compensation equal to 50% of the employee’s salary during the restriction period.</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From time to time we employ independent contractors to support our production, engineering, marketing and sales departments. The number of independent contractors employed during 2018 was not significant.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material labor disputes. None of our employees is represented by labor unions.</w:t>
      </w:r>
    </w:p>
    <w:p>
      <w:pPr>
        <w:spacing w:after="0" w:line="170" w:lineRule="exact"/>
        <w:rPr>
          <w:sz w:val="20"/>
          <w:szCs w:val="20"/>
          <w:color w:val="auto"/>
        </w:rPr>
      </w:pPr>
    </w:p>
    <w:p>
      <w:pPr>
        <w:ind w:left="720" w:hanging="712"/>
        <w:spacing w:after="0"/>
        <w:tabs>
          <w:tab w:leader="none" w:pos="7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the beneficial ownership of our ordinary shares as of March 31, 2019, by:</w:t>
      </w:r>
    </w:p>
    <w:p>
      <w:pPr>
        <w:spacing w:after="0" w:line="225" w:lineRule="exact"/>
        <w:rPr>
          <w:sz w:val="20"/>
          <w:szCs w:val="20"/>
          <w:color w:val="auto"/>
        </w:rPr>
      </w:pP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calculations in the table below is based on 225,035,097 ordinary shares issued and outstanding as of March 31, 2019, comprising of 123,256,139 Class A ordinary shares and 101,778,958 Class B ordinary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60" w:type="dxa"/>
            <w:vAlign w:val="bottom"/>
            <w:gridSpan w:val="3"/>
          </w:tcPr>
          <w:p>
            <w:pPr>
              <w:jc w:val="center"/>
              <w:ind w:left="764"/>
              <w:spacing w:after="0"/>
              <w:rPr>
                <w:sz w:val="20"/>
                <w:szCs w:val="20"/>
                <w:color w:val="auto"/>
              </w:rPr>
            </w:pPr>
            <w:r>
              <w:rPr>
                <w:rFonts w:ascii="Arial" w:cs="Arial" w:eastAsia="Arial" w:hAnsi="Arial"/>
                <w:sz w:val="14"/>
                <w:szCs w:val="14"/>
                <w:b w:val="1"/>
                <w:bCs w:val="1"/>
                <w:color w:val="auto"/>
                <w:w w:val="95"/>
              </w:rPr>
              <w:t>Ordinary Shares</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Voting Power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60" w:type="dxa"/>
            <w:vAlign w:val="bottom"/>
            <w:gridSpan w:val="3"/>
          </w:tcPr>
          <w:p>
            <w:pPr>
              <w:jc w:val="center"/>
              <w:ind w:left="764"/>
              <w:spacing w:after="0"/>
              <w:rPr>
                <w:sz w:val="20"/>
                <w:szCs w:val="20"/>
                <w:color w:val="auto"/>
              </w:rPr>
            </w:pPr>
            <w:r>
              <w:rPr>
                <w:rFonts w:ascii="Arial" w:cs="Arial" w:eastAsia="Arial" w:hAnsi="Arial"/>
                <w:sz w:val="14"/>
                <w:szCs w:val="14"/>
                <w:b w:val="1"/>
                <w:bCs w:val="1"/>
                <w:color w:val="auto"/>
                <w:w w:val="93"/>
              </w:rPr>
              <w:t>Beneficially Owned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60" w:type="dxa"/>
            <w:vAlign w:val="bottom"/>
            <w:tcBorders>
              <w:top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7"/>
                <w:szCs w:val="7"/>
                <w:b w:val="1"/>
                <w:bCs w:val="1"/>
                <w:color w:val="auto"/>
              </w:rPr>
              <w:t>(1)</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76"/>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7"/>
                <w:szCs w:val="7"/>
                <w:b w:val="1"/>
                <w:bCs w:val="1"/>
                <w:color w:val="auto"/>
              </w:rPr>
              <w:t>(2)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Directors and Executive Officers:**</w:t>
            </w:r>
          </w:p>
        </w:tc>
        <w:tc>
          <w:tcPr>
            <w:tcW w:w="2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Charles Chao</w:t>
            </w:r>
          </w:p>
        </w:tc>
        <w:tc>
          <w:tcPr>
            <w:tcW w:w="3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Hong Du</w:t>
            </w:r>
          </w:p>
        </w:tc>
        <w:tc>
          <w:tcPr>
            <w:tcW w:w="3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Daniel Yong Zhang</w:t>
            </w:r>
          </w:p>
        </w:tc>
        <w:tc>
          <w:tcPr>
            <w:tcW w:w="2140" w:type="dxa"/>
            <w:vAlign w:val="bottom"/>
          </w:tcPr>
          <w:p>
            <w:pPr>
              <w:spacing w:after="0"/>
              <w:rPr>
                <w:sz w:val="18"/>
                <w:szCs w:val="18"/>
                <w:color w:val="auto"/>
              </w:rPr>
            </w:pPr>
          </w:p>
        </w:tc>
        <w:tc>
          <w:tcPr>
            <w:tcW w:w="21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Pehong Chen</w:t>
            </w:r>
          </w:p>
        </w:tc>
        <w:tc>
          <w:tcPr>
            <w:tcW w:w="3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Frank Kui Tang</w:t>
            </w:r>
          </w:p>
        </w:tc>
        <w:tc>
          <w:tcPr>
            <w:tcW w:w="3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Gaofei Wang</w:t>
            </w:r>
          </w:p>
        </w:tc>
        <w:tc>
          <w:tcPr>
            <w:tcW w:w="3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Yajuan Wang</w:t>
            </w:r>
          </w:p>
        </w:tc>
        <w:tc>
          <w:tcPr>
            <w:tcW w:w="3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Fei Cao</w:t>
            </w:r>
          </w:p>
        </w:tc>
        <w:tc>
          <w:tcPr>
            <w:tcW w:w="3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2,359,609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Principal Shareholders:</w:t>
            </w:r>
          </w:p>
        </w:tc>
        <w:tc>
          <w:tcPr>
            <w:tcW w:w="2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line="216" w:lineRule="exact"/>
              <w:rPr>
                <w:sz w:val="20"/>
                <w:szCs w:val="20"/>
                <w:color w:val="auto"/>
              </w:rPr>
            </w:pPr>
            <w:r>
              <w:rPr>
                <w:rFonts w:ascii="Arial" w:cs="Arial" w:eastAsia="Arial" w:hAnsi="Arial"/>
                <w:sz w:val="18"/>
                <w:szCs w:val="18"/>
                <w:color w:val="auto"/>
              </w:rPr>
              <w:t>Sina Corporation</w:t>
            </w:r>
            <w:r>
              <w:rPr>
                <w:rFonts w:ascii="Arial" w:cs="Arial" w:eastAsia="Arial" w:hAnsi="Arial"/>
                <w:sz w:val="23"/>
                <w:szCs w:val="23"/>
                <w:color w:val="auto"/>
                <w:vertAlign w:val="superscript"/>
              </w:rPr>
              <w:t>(3)</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101,778,958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Ali WB Investment Holding Limited</w:t>
            </w:r>
            <w:r>
              <w:rPr>
                <w:rFonts w:ascii="Arial" w:cs="Arial" w:eastAsia="Arial" w:hAnsi="Arial"/>
                <w:sz w:val="23"/>
                <w:szCs w:val="23"/>
                <w:color w:val="auto"/>
                <w:vertAlign w:val="superscript"/>
              </w:rPr>
              <w:t>(4)</w:t>
            </w:r>
          </w:p>
        </w:tc>
        <w:tc>
          <w:tcPr>
            <w:tcW w:w="3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67,883,086</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4"/>
                <w:szCs w:val="24"/>
                <w:color w:val="auto"/>
              </w:rPr>
            </w:pPr>
          </w:p>
        </w:tc>
        <w:tc>
          <w:tcPr>
            <w:tcW w:w="2140" w:type="dxa"/>
            <w:vAlign w:val="bottom"/>
          </w:tcPr>
          <w:p>
            <w:pPr>
              <w:jc w:val="right"/>
              <w:ind w:right="670"/>
              <w:spacing w:after="0"/>
              <w:rPr>
                <w:sz w:val="20"/>
                <w:szCs w:val="20"/>
                <w:color w:val="auto"/>
              </w:rPr>
            </w:pPr>
            <w:r>
              <w:rPr>
                <w:rFonts w:ascii="Arial" w:cs="Arial" w:eastAsia="Arial" w:hAnsi="Arial"/>
                <w:sz w:val="18"/>
                <w:szCs w:val="18"/>
                <w:color w:val="auto"/>
              </w:rPr>
              <w:t>105</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6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25" w:lineRule="exact"/>
        <w:rPr>
          <w:sz w:val="20"/>
          <w:szCs w:val="20"/>
          <w:color w:val="auto"/>
        </w:rPr>
      </w:pPr>
    </w:p>
    <w:p>
      <w:pPr>
        <w:ind w:left="340" w:right="60" w:hanging="332"/>
        <w:spacing w:after="0" w:line="276" w:lineRule="auto"/>
        <w:tabs>
          <w:tab w:leader="none" w:pos="33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business address for Charles Chao and Hong Du is No. 8 SINA Plaza, Courtyard 10, the West, Xibeiwang E. Road Haidian District, Beijing 100193, People’s Republic of China. The business address for Daniel Yong Zhang is Alibaba Group Holding Limited, 969 West Wen Yi Road, Yu Hang District, Hangzhou 310013, People’s Republic of China. The business address for Pehong Chen is 93 Ridgeview, Dr., Atherton, CA 94027. The business address for Frank Kui Tang is Suite 705-8, ICBC Tower, 3 Garden Road, Central, Hong Kong. The business address for Gaofei Wang, Fei Cao and Yajuan Wang is 8/F, QIHAO Plaza, No.8 Xinyuan S. Road, Chaoyang District, Beijing 100027, People’s Republic of China.</w:t>
      </w:r>
    </w:p>
    <w:p>
      <w:pPr>
        <w:spacing w:after="0" w:line="173" w:lineRule="exact"/>
        <w:rPr>
          <w:sz w:val="20"/>
          <w:szCs w:val="20"/>
          <w:color w:val="auto"/>
        </w:rPr>
      </w:pPr>
    </w:p>
    <w:p>
      <w:pPr>
        <w:ind w:left="340" w:right="100" w:hanging="332"/>
        <w:spacing w:after="0" w:line="291" w:lineRule="auto"/>
        <w:tabs>
          <w:tab w:leader="none" w:pos="3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after March 31, 2019, by the sum of</w:t>
      </w:r>
    </w:p>
    <w:p>
      <w:pPr>
        <w:ind w:left="340" w:right="180"/>
        <w:spacing w:after="0" w:line="261" w:lineRule="auto"/>
        <w:rPr>
          <w:rFonts w:ascii="Arial" w:cs="Arial" w:eastAsia="Arial" w:hAnsi="Arial"/>
          <w:sz w:val="16"/>
          <w:szCs w:val="16"/>
          <w:color w:val="auto"/>
        </w:rPr>
      </w:pPr>
      <w:r>
        <w:rPr>
          <w:rFonts w:ascii="Arial" w:cs="Arial" w:eastAsia="Arial" w:hAnsi="Arial"/>
          <w:sz w:val="18"/>
          <w:szCs w:val="18"/>
          <w:color w:val="auto"/>
        </w:rPr>
        <w:t>(1) 225,035,097, which is the total number of ordinary shares outstanding as of March 31, 2019, and (2) the number of ordinary shares that such person or group has the right to acquire within 60 days after March 31, 2019.</w:t>
      </w:r>
    </w:p>
    <w:p>
      <w:pPr>
        <w:spacing w:after="0" w:line="183" w:lineRule="exact"/>
        <w:rPr>
          <w:rFonts w:ascii="Arial" w:cs="Arial" w:eastAsia="Arial" w:hAnsi="Arial"/>
          <w:sz w:val="16"/>
          <w:szCs w:val="16"/>
          <w:color w:val="auto"/>
        </w:rPr>
      </w:pPr>
    </w:p>
    <w:p>
      <w:pPr>
        <w:ind w:left="340" w:right="80" w:hanging="332"/>
        <w:spacing w:after="0" w:line="297" w:lineRule="auto"/>
        <w:tabs>
          <w:tab w:leader="none" w:pos="3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each person or group included in this column, the percentage of total voting power represents voting power based on both Class A and Class B ordinary shares held by such person or group with respect to all of our outstanding Class A and Class B ordinary shares as one class as of March 31, 2019. Each holder of Class A ordinary shares is entitled to one vote per share, and each holder of Class B ordinary shares is entitled to three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w:t>
      </w:r>
    </w:p>
    <w:p>
      <w:pPr>
        <w:spacing w:after="0" w:line="158" w:lineRule="exact"/>
        <w:rPr>
          <w:rFonts w:ascii="Arial" w:cs="Arial" w:eastAsia="Arial" w:hAnsi="Arial"/>
          <w:sz w:val="16"/>
          <w:szCs w:val="16"/>
          <w:color w:val="auto"/>
        </w:rPr>
      </w:pPr>
    </w:p>
    <w:p>
      <w:pPr>
        <w:ind w:left="340" w:right="240" w:hanging="332"/>
        <w:spacing w:after="0" w:line="264" w:lineRule="auto"/>
        <w:tabs>
          <w:tab w:leader="none" w:pos="3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101,778,958 Class B ordinary shares. The address of Sina Corporation is No. 8 SINA Plaza, Courtyard 10, the West, Xibeiwang E. Road Haidian District, Beijing 100193, People’s Republic of China. Sina Corporation is a reporting company under the Exchange Act, which is listed on the NASDAQ Global Select Market.</w:t>
      </w:r>
    </w:p>
    <w:p>
      <w:pPr>
        <w:spacing w:after="0" w:line="181" w:lineRule="exact"/>
        <w:rPr>
          <w:rFonts w:ascii="Arial" w:cs="Arial" w:eastAsia="Arial" w:hAnsi="Arial"/>
          <w:sz w:val="18"/>
          <w:szCs w:val="18"/>
          <w:color w:val="auto"/>
        </w:rPr>
      </w:pPr>
    </w:p>
    <w:p>
      <w:pPr>
        <w:ind w:left="340" w:right="340" w:hanging="332"/>
        <w:spacing w:after="0" w:line="264" w:lineRule="auto"/>
        <w:tabs>
          <w:tab w:leader="none" w:pos="3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(1) 58,883,086 Class A ordinary shares and (2) 9,000,000 Class A ordinary shares represented by ADSs. The address of Ali WB is Fourth Floor, One Capital Place, P.O. Box 847, Grand Cayman, KY1-1103, Cayman Islands. Such shareholding information is based on the information contained in the Schedule 13D filed by Ali WB with the SEC on September 9, 2016.</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our knowledge, as of March 31, 2019, we had 64,358,299 ordinary shares outstanding on an as converted basis that were held by 27 record holders in the United States, including the depositary of our ADS program. The number of beneficial owners of our ADSs in the United States is likely to be much larger than the number of record holders of our ordinary shares in the United States. None of our shareholders has informed us that it is affiliated with a registered broker-dealer or is in the business of underwriting securities. We are not aware of any arrangement that may, at a subsequent date, result in a change of control of our company.</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ordinary shares are divided into Class A ordinary shares and Class B ordinary shares. Each holder of Class A ordinary shares is entitled to one vote per share, and each holder of Class B ordinary shares is entitled to three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29" w:lineRule="exact"/>
        <w:rPr>
          <w:sz w:val="20"/>
          <w:szCs w:val="20"/>
          <w:color w:val="auto"/>
        </w:rPr>
      </w:pPr>
    </w:p>
    <w:p>
      <w:pPr>
        <w:ind w:left="720" w:hanging="712"/>
        <w:spacing w:after="0"/>
        <w:tabs>
          <w:tab w:leader="none" w:pos="7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Major Shareholders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“Item 6.E. Directors, Senior Management and Employees—Share Ownership.”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hanging="712"/>
        <w:spacing w:after="0"/>
        <w:tabs>
          <w:tab w:leader="none" w:pos="7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Party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SINA and Ali WB are currently the two largest shareholders of our company. Below are summaries of our relationship with these two shareholders.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SINA</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a controlled subsidiary of SINA. We have entered into agreements with SINA with respect to various ongoing relationships between us after our initial public offering. These agreements include a master transaction agreement, a transitional service agreement, a non-competition agreement, a sales and marketing services agreement and a transitional services agreement. The following are summaries of these agreements and of an intellectual property license agreement that we entered into with SINA in April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Transaction Agreement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master transaction agreement contains provisions relating to our carve-out from SINA. Pursuant to this agreement, we are responsible for all financial liabilities associated with the current and historical social media business and operations that have been conducted by or transferred to us, and SINA is responsible for financial liabilities associated with all of SINA’s other current and historical businesses and operations, in each case regardless of the time those liabilities arise. The master transaction agreement also contains indemnification provisions under which we and SINA indemnify each other with respect to breaches of the master transaction agreement or any related inter-company agreement.</w:t>
      </w:r>
    </w:p>
    <w:p>
      <w:pPr>
        <w:spacing w:after="0" w:line="17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we have agreed to indemnify SINA against liabilities arising from misstatements or omissions in our prospectus dated April 16, 2014 or the registration statement of which it is a part, except for misstatements or omissions relating to information that SINA provided to us specifically for inclusion in our prospectus dated April 16, 2014 or the registration statement of which it forms a part. We also have agreed to indemnify SINA against liabilities arising from any misstatements or omissions in our subsequent SEC filings and from information we provide to SINA specifically for inclusion in SINA’s annual reports or other SEC filings following the completion of our initial public offering, but only to the extent that the information pertains to us or our business or to the extent SINA provides us prior written notice that the information will be included in its annual reports or other subsequent SEC filings and the liability does not result from the action or inaction of SINA. Similarly, SINA will indemnify us against liabilities arising from misstatements or omissions in its subsequent SEC filings or with respect to information that SINA provided to us specifically for inclusion in our prospectus dated April 16, 2014, the registration statement of which our prospectus dated April 16, 2014 forms a part, or our annual reports or other SEC filings following the completion of our initial public offering.</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master transaction agreement also contains a general release, under which the parties will release each other from any liabilities arising from events occurring on or before the initial filing date of the registration statement of which our prospectus dated April 16, 2014 forms a part, including in connection with the activities to implement of our initial public offering. The general release does not apply to liabilities allocated between the parties under the master transaction agreement or the other inter-company agreements.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Furthermore, under the master transaction agreement, we have agreed to use our reasonable best efforts to use the same independent certified public accounting firm selected by SINA and to maintain the same fiscal year as SINA until the first SINA fiscal year-end following the earlier of (1) the first date when SINA no longer owns at least 20% of the voting power of our then outstanding securities and (2) the first date when SINA ceases to be the largest beneficial owner of our then outstanding voting securities (without considering holdings by certain institutional investors). We refer to this earlier date as the control ending date. We also have agreed to use our reasonable best efforts to complete our audit and provide SINA with all financial and other information on a timely basis so that SINA may meet its deadlines for its filing of annual and quarterly financial statements.</w:t>
      </w:r>
    </w:p>
    <w:p>
      <w:pPr>
        <w:spacing w:after="0" w:line="178"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Under the master transaction agreement, the parties also agree to cooperate in sharing information and data collected from each party’s business operation, including without limitation user information and data relating to user activities. The parties agree not to charge any fees for their cooperation provided under the agreement unless they separately and explicitly agree otherwise.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The master transaction agreement will automatically terminate five years after the first date upon which SINA ceases to own in aggregate at least 20% of the voting power of our then outstanding securities, provided that the agreement on sharing information and data will terminate on the earlier of</w:t>
      </w:r>
    </w:p>
    <w:p>
      <w:pPr>
        <w:ind w:right="40" w:firstLine="8"/>
        <w:spacing w:after="0" w:line="254"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fifteenth anniversary of the commencement of the cooperation period or (2) five years after the first date upon which SINA ceases to own in aggregate at least 20% of the voting power of our then outstanding securities. This agreement can be terminated early or extended by mutual written consent of the parties. The termination of this agreement will not affect the validity and effectiveness of the transitional services agreement, the non-competition agreement and the sales and marketing services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Transitional Services Agreement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Under the transitional services agreement, SINA agrees that, during the service period, as described below, SINA will provide us with various corporate support services, including but not limited to:</w:t>
      </w:r>
    </w:p>
    <w:p>
      <w:pPr>
        <w:spacing w:after="0" w:line="170" w:lineRule="exact"/>
        <w:rPr>
          <w:sz w:val="20"/>
          <w:szCs w:val="20"/>
          <w:color w:val="auto"/>
        </w:rPr>
      </w:pPr>
    </w:p>
    <w:p>
      <w:pPr>
        <w:ind w:left="940" w:hanging="284"/>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administrative support;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operational management support;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legal support;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technology support;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provision of office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SINA also may provide us with additional services that we and SINA may identify from time to time in the future.</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price to be paid for the services provided under the transitional service agreement will be the actual direct and indirect costs of providing such services. Direct costs include labor-related compensation and travel expenses and materials and supplies consumed in performing the services. Indirect costs include office occupancy, information technology supervision and other overhead costs of the department incurring the direct costs of providing the services.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transitional service agreement provides that the performance of a service according to the agreement will not subject the provider of such service to any liability whatsoever except as directly caused by the gross negligence or willful misconduct of the service provider. Liability for gross negligence or willful misconduct is limited to the lower of the price paid for the particular service or the cost of the service’s recipient performing the service itself or hiring a third party to perform the service. Under the transitional services agreement, the service provider of each service is indemnified by the recipient against all third-party claims relating to provision of services or the recipient’s material breach of a third-party agreement, except where the claim is directly caused by the service provider’s gross negligence or willful misconduct.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service period under the transitional services agreement commences on March 14, 2014 and ended on the expiration of five years thereafter.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After the expiration of the transitional services agreement, we will continue to receive certain services from SINA in the ordinary course of business.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Non-competition Agreement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non-competition agreement with SINA provides for a non-competition period beginning upon the completion of our initial public offering and ending on the later of (1) five years after the first date when SINA ceases to own in aggregate at least 20% of the voting power of our then outstanding securities and (2) fifteenth anniversary of the completion of our initial public offering. This agreement can be terminated early by mutual written consent of the parties.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SINA has agreed not to compete with us during the non-competition period in the business that is of the same nature as the microblogging and social networking business operated by us as of the date of the agreement, except for owning non-controlling equity interest in any company competing with us. We have agreed not to compete with SINA during the non-competition period in the businesses currently conducted by SINA, as described in its periodic filings with the SEC, other than the microblogging and social networking business currently operated by us as of the date of the agreement, except for owning non-controlling equity interest in any company competing with SINA.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non-competition agreement also provides for a mutual non-solicitation obligation that neither SINA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Services Agreement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Under our sales and marketing services agreement with SINA, we agree that SINA will be our sales and marketing agent within the service period commencing on the date of signing and ending on the earlier of (1) the fifteenth anniversary of the commencement of the service period or (2) five years after the first date upon which SINA ceases to own in aggregate at least 20% of the voting power of our then outstanding securities.</w:t>
      </w:r>
    </w:p>
    <w:p>
      <w:pPr>
        <w:spacing w:after="0" w:line="166"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fee to be reimbursed for the services provided under this agreement shall be the reasonably allocated direct and indirect costs of providing such services. Direct costs include labor-related compensation and travel expenses and materials and supplies consumed in performing the services. Indirect costs include office occupancy, information technology support and other overhead costs of the department incurring the direct costs of providing the service.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License Agreement</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intellectual property license agreement was entered into by and between SINA and us as a part of Ali WB’s purchase of our ordinary and preferred shares in April 2013. Under the intellectual property license agreement, SINA grants us and our subsidiaries a perpetual, worldwide, royalty-free,</w:t>
      </w:r>
    </w:p>
    <w:p>
      <w:pPr>
        <w:ind w:right="140"/>
        <w:spacing w:after="0" w:line="254" w:lineRule="auto"/>
        <w:rPr>
          <w:sz w:val="20"/>
          <w:szCs w:val="20"/>
          <w:color w:val="auto"/>
        </w:rPr>
      </w:pPr>
      <w:r>
        <w:rPr>
          <w:rFonts w:ascii="Arial" w:cs="Arial" w:eastAsia="Arial" w:hAnsi="Arial"/>
          <w:sz w:val="18"/>
          <w:szCs w:val="18"/>
          <w:color w:val="auto"/>
        </w:rPr>
        <w:t>fully paid-up, non-sublicensable, non-transferable, limited, exclusive license of trademarks, including “</w:t>
      </w:r>
      <w:r>
        <w:rPr>
          <w:sz w:val="1"/>
          <w:szCs w:val="1"/>
          <w:color w:val="auto"/>
        </w:rPr>
        <w:drawing>
          <wp:inline distT="0" distB="0" distL="0" distR="0">
            <wp:extent cx="403225" cy="9461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3225" cy="94615"/>
                    </a:xfrm>
                    <a:prstGeom prst="rect">
                      <a:avLst/>
                    </a:prstGeom>
                    <a:noFill/>
                    <a:ln>
                      <a:noFill/>
                    </a:ln>
                  </pic:spPr>
                </pic:pic>
              </a:graphicData>
            </a:graphic>
          </wp:inline>
        </w:drawing>
      </w:r>
      <w:r>
        <w:rPr>
          <w:rFonts w:ascii="Arial" w:cs="Arial" w:eastAsia="Arial" w:hAnsi="Arial"/>
          <w:sz w:val="18"/>
          <w:szCs w:val="18"/>
          <w:color w:val="auto"/>
        </w:rPr>
        <w:t xml:space="preserve"> ,” “</w:t>
      </w:r>
      <w:r>
        <w:rPr>
          <w:sz w:val="1"/>
          <w:szCs w:val="1"/>
          <w:color w:val="auto"/>
        </w:rPr>
        <w:drawing>
          <wp:inline distT="0" distB="0" distL="0" distR="0">
            <wp:extent cx="300355" cy="1117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0355" cy="111760"/>
                    </a:xfrm>
                    <a:prstGeom prst="rect">
                      <a:avLst/>
                    </a:prstGeom>
                    <a:noFill/>
                    <a:ln>
                      <a:noFill/>
                    </a:ln>
                  </pic:spPr>
                </pic:pic>
              </a:graphicData>
            </a:graphic>
          </wp:inline>
        </w:drawing>
      </w:r>
      <w:r>
        <w:rPr>
          <w:rFonts w:ascii="Arial" w:cs="Arial" w:eastAsia="Arial" w:hAnsi="Arial"/>
          <w:sz w:val="18"/>
          <w:szCs w:val="18"/>
          <w:color w:val="auto"/>
        </w:rPr>
        <w:t>” and “</w:t>
      </w:r>
      <w:r>
        <w:rPr>
          <w:sz w:val="1"/>
          <w:szCs w:val="1"/>
          <w:color w:val="auto"/>
        </w:rPr>
        <w:drawing>
          <wp:inline distT="0" distB="0" distL="0" distR="0">
            <wp:extent cx="420370"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0370" cy="128905"/>
                    </a:xfrm>
                    <a:prstGeom prst="rect">
                      <a:avLst/>
                    </a:prstGeom>
                    <a:noFill/>
                    <a:ln>
                      <a:noFill/>
                    </a:ln>
                  </pic:spPr>
                </pic:pic>
              </a:graphicData>
            </a:graphic>
          </wp:inline>
        </w:drawing>
      </w:r>
      <w:r>
        <w:rPr>
          <w:rFonts w:ascii="Arial" w:cs="Arial" w:eastAsia="Arial" w:hAnsi="Arial"/>
          <w:sz w:val="18"/>
          <w:szCs w:val="18"/>
          <w:color w:val="auto"/>
        </w:rPr>
        <w:t xml:space="preserve"> ,” and a non-exclusive license of certain other intellectual property owned by SINA to make, sell, offer to sell and distribute products, services and applications on a microblogging and social networking platform. We grant SINA and its affiliates a non-exclusive, perpetual, worldwide, non-sublicensable, non-transferable limited license of certain of our intellectual property to use, reproduce, modify, prepare derivative works of, perform, display or otherwise exploit such intellectual property. This agreement commenced on April 29, 2013 and will continue in effect unless terminated by SINA in case of our breach as provided in the agreement.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SINA’s Registration Rights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SINA has the same registration rights as those that have been granted to Ali WB. See below “Our Relationship with Alibaba—Registration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Alibaba</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April 2013, concurrently with forming a strategic alliance with several of our affiliated entities, Alibaba invested $585.8 million through Ali WB, its wholly owned subsidiary, to purchase our ordinary and preferred shares representing approximately 18% of our then total outstanding shares on a fully diluted basis. The following are summaries of our strategic alliance with Alibaba and major rights that Ali WB has as our shareholder.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Collaboration with Alibaba</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April 2013, we entered into a strategic collaboration agreement and a marketing cooperation agreement to form a strategic alliance between several of our affiliated entities, including Weibo Technology, Weimeng, and Beijing SINA Internet Information Service Co., Ltd., an affiliate of SINA, and several entities affiliated with Alibaba, including Alibaba (China) Co., Ltd., Taobao (China) Software Co., Ltd., Zhejiang Tmall.com Technology Co., Ltd. and Alibaba (China) Internet Technology Co., Ltd., to jointly explore social commerce and develop innovative marketing solutions to enable merchants on Alibaba e-commerce platforms to better connect and build relationships with Weibo users. Under these agreements, the parties agreed to cooperate on a non-exclusive basis in respect of user account sharing, data sharing, platform integration, product development, payment supporting for both personal computer and mobile businesses, marketing activities and other aspects of the parties’ businesses. The strategic collaboration generated $49.1 million, $107.6 million and $137.4 million in advertising and marketing revenues in aggregate for us for the twelve months ended 2013, 2014 and 2015, respectively. The strategic collaboration agreement and marketing cooperation agreement expired in January 2016. However, Alibaba still remains as our largest customer, and we rely on them to enable us to offer e-commerce advertisement solutions to their merchants.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Concurrently with Alibaba’s purchase of our ordinary and preferred shares in April 2013, we entered into a shareholders’ agreement with Ali WB and SINA which regulates our shareholders’ rights and obligations after Ali WB became our shareholder, which agreement was amended and restated in March 2014. The following are summaries of certain rights that Ali WB is entitled to under the shareholders’ agreement which continue to be valid after the completion of our initial public offering.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Ali WB’s Rights Relating to Share Incentive Plan. </w:t>
      </w:r>
      <w:r>
        <w:rPr>
          <w:rFonts w:ascii="Arial" w:cs="Arial" w:eastAsia="Arial" w:hAnsi="Arial"/>
          <w:sz w:val="17"/>
          <w:szCs w:val="17"/>
          <w:color w:val="auto"/>
        </w:rPr>
        <w:t>Until the earlier of (1) April 21, 2019, the 5th anniversary of our initial public offering, and</w:t>
      </w:r>
    </w:p>
    <w:p>
      <w:pPr>
        <w:spacing w:after="0" w:line="35" w:lineRule="exact"/>
        <w:rPr>
          <w:sz w:val="20"/>
          <w:szCs w:val="20"/>
          <w:color w:val="auto"/>
        </w:rPr>
      </w:pPr>
    </w:p>
    <w:p>
      <w:pPr>
        <w:ind w:right="80" w:firstLine="8"/>
        <w:spacing w:after="0" w:line="261"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investor exit events defined under the shareholders agreement, we are not permitted to revise our equity-based incentive plans, including our 2014 Share Inventive Plan to increase the number of securities issuable under such plans or adopt any new plan.</w:t>
      </w:r>
    </w:p>
    <w:p>
      <w:pPr>
        <w:spacing w:after="0" w:line="184"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Ali WB’s Right of First Offer</w:t>
      </w:r>
      <w:r>
        <w:rPr>
          <w:rFonts w:ascii="Arial" w:cs="Arial" w:eastAsia="Arial" w:hAnsi="Arial"/>
          <w:sz w:val="16"/>
          <w:szCs w:val="16"/>
          <w:color w:val="auto"/>
        </w:rPr>
        <w:t>. Ali WB has the right of first offer if (1) SINA or any of its wholly owned subsidiaries desires to sell all or any portion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shares it holds to a third party other than up to 7,000,000 ordinary shares, or (2) any management shareholder desires to sell all or any portion of our shares such shareholder holds to a third party other than up to 20% of the ordinary shares held by such shareholder as of April 29, 2013.</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Ali WB’s Board Representation Rights</w:t>
      </w:r>
      <w:r>
        <w:rPr>
          <w:rFonts w:ascii="Arial" w:cs="Arial" w:eastAsia="Arial" w:hAnsi="Arial"/>
          <w:sz w:val="18"/>
          <w:szCs w:val="18"/>
          <w:color w:val="auto"/>
        </w:rPr>
        <w:t>. After Ali WB exercised its option in full, it has the right to appoint a number of directors in proportion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its ownership in our company. SINA and Ali WB have entered into a voting agreement to effect the board representation rights. See “—Voting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the voting agreement entered into by SINA and Ali WB on April 24, 2014, Ali WB has the right to appoint or nominate such number of directors as is proportional to the percentage of its ownership in our company on a fully diluted basis (such number of directors to be rounded down the closest integer). Nevertheless, the number of non-independent directors Ali WB is entitled to appoint or nominate shall be no fewer than one director but no greater than the number of directors appointed or nominated by SINA as long as Ali WB holds less our shares than SINA. Ali WB’s board representation rights will terminate in the event that more than 50% of its acquired shares, being the total shares of our company acquired by Ali WB in April 2013 and through the exercise of Ali WB’s option under the shareholders’ agreement, are transferred by Ali WB or its permitted transferees to one or more third parties or are no longer held by Alibaba directly, or indirectly through certain subsidiaries. Ali WB may assign its board representation rights to a qualified new investor to whom Ali WB transfers at least 50% of its acquired shares and who meets the requirements set forth in the shareholders agreement and the directors to be appointed by such new qualified investor must meet qualifications set forth in the voting agreement. In May 2014, Mr. Daniel Yong Zhang was appointed by Ali WB as a director of our company.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have entered into a registration rights agreement with SINA and Ali WB. Under the registration rights agreement, each of SINA and Ali WB has the right to require us to register the public sale of all the shares owned by them as well as the right to participate in registrations of shares by us or any of our other shareholders. SINA and Ali WB have customary rights under the registration rights agreement, such as no more than two (2) demand registration rights, unlimited piggyback registration rights, shelf registration rights and rights to request us to pay registration expenses and to bear indemnification liability.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2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See “Item 4.C. Information on the Company—Organizational Structure—Contractual Arrangements with Weimeng and Its Shareholders” for a description of the contractual arrangements between Weibo Technology, Weimeng and the shareholders of Weimeng.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SINA</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2018, we recorded $90.6 million in revenues from SINA, we had costs and expenses allocated from SINA of $47.3 million and $23.4 million billed by SINA for other costs and expenses associated with Weibo business. In addition, we had amounts due from SINA (excluding loan to SINA) of $61.7 million as of December 31, 2018.</w:t>
      </w:r>
    </w:p>
    <w:p>
      <w:pPr>
        <w:spacing w:after="0" w:line="181" w:lineRule="exact"/>
        <w:rPr>
          <w:sz w:val="20"/>
          <w:szCs w:val="20"/>
          <w:color w:val="auto"/>
        </w:rPr>
      </w:pPr>
    </w:p>
    <w:p>
      <w:pPr>
        <w:ind w:right="60" w:firstLine="638"/>
        <w:spacing w:after="0" w:line="259" w:lineRule="auto"/>
        <w:rPr>
          <w:sz w:val="20"/>
          <w:szCs w:val="20"/>
          <w:color w:val="auto"/>
        </w:rPr>
      </w:pPr>
      <w:r>
        <w:rPr>
          <w:rFonts w:ascii="Arial" w:cs="Arial" w:eastAsia="Arial" w:hAnsi="Arial"/>
          <w:sz w:val="18"/>
          <w:szCs w:val="18"/>
          <w:color w:val="auto"/>
        </w:rPr>
        <w:t>SINA made a $2.0 million short-term loan to Weibo in 2017, which was repaid to SINA in 2018. In 2018, we entered in to a series of one-year loan agreements with SINA, pursuant to which SINA is entitled to withdraw loans from us to facilitate SINA’s business operations. In 2018, SINA has withdrawn a total of $149.5 million of loans from us and repaid $101.1 million to us and we recognized $2.4 million interest income on loans to SINA. As of December 31, 2018, the outstanding balance of the loan extended by us to SINA was $43.6 million.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2017, we recorded $64.1 million in revenues from SINA, we had costs and expenses allocated from SINA of $41.1 million and $22.9 million billed by SINA for other costs and expenses associated with Weibo business. In addition, we had amounts due from SINA of $16.4 million as of December 31, 2017.</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January 2017, we and one of our subsidiary entered into one-year loan agreements with SINA and SINA subsidiary, pursuant to which we are entitled to draw down U.S. dollar-denominated loan from SINA and a SINA subsidiary is entitled to draw down equivalent RMB-denominated loan from our subsidiary, to facilitate each other’s business operations. All of the loans carried a fixed rate of interest equal to the current market interest rate as of the dates when the principal was drawn down.</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For the year ended December 31, 2017, interest income that we earned from such RMB-denominated loans to SINA was $1.7 million, and interest expense that we accrued for such U.S. dollar-denominated loans from SINA was $1.5 million, respectively. By December 31, 2017, we and our subsidiary settled both loans with SINA and SINA subsidiary with payment of U.S. dollar-denominated principal and interest expense of $61.5 million and receipt of RMB-denominated principal and interest income of $64.0 million, respectively. Besides the matching loans between Weibo and SINA, SINA made an additional $2.0 million short term loan to us in 2017.</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2016, we recorded $39.3 million in revenues from SINA, we had costs and expenses allocated from SINA of $25.7 million and $20.3 million billed by SINA for other costs and expenses associated with Weibo business. In addition, we had amounts due from SINA of $18.6 million as of December 31, 2016.</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Accounts receivable amounts directly related to Weibo but for which SINA will receive payments and remit payments to us are included in the amount due from SINA. Liabilities directly related to Weibo but for which SINA will make payments and receive reimbursements from us are included in the amount due to SINA. Loan from SINA is presented under cash flow from financing activities, whereas loan to SINA is presented under investing activities in the consolidated statements of cash flows.</w:t>
      </w:r>
    </w:p>
    <w:p>
      <w:pPr>
        <w:spacing w:after="0" w:line="187"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Costs and expenses allocated from SINA represent services that were provided by various subsidiaries and VIEs of SINA. The service fees were incurred using an allocation methodology based on proportional utilization. See “—Our Relationship with SINA” and “Item 5.A Operating and Financial Review and Prospects—Operating Results—Critical Accounting Policies, Judgments and Estimates—Basis of Presentation and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Alibaba</w:t>
      </w:r>
    </w:p>
    <w:p>
      <w:pPr>
        <w:spacing w:after="0" w:line="229" w:lineRule="exact"/>
        <w:rPr>
          <w:sz w:val="20"/>
          <w:szCs w:val="20"/>
          <w:color w:val="auto"/>
        </w:rPr>
      </w:pPr>
    </w:p>
    <w:p>
      <w:pPr>
        <w:jc w:val="both"/>
        <w:ind w:right="300" w:firstLine="648"/>
        <w:spacing w:after="0" w:line="277" w:lineRule="auto"/>
        <w:rPr>
          <w:sz w:val="20"/>
          <w:szCs w:val="20"/>
          <w:color w:val="auto"/>
        </w:rPr>
      </w:pPr>
      <w:r>
        <w:rPr>
          <w:rFonts w:ascii="Arial" w:cs="Arial" w:eastAsia="Arial" w:hAnsi="Arial"/>
          <w:sz w:val="18"/>
          <w:szCs w:val="18"/>
          <w:color w:val="auto"/>
        </w:rPr>
        <w:t>During 2018, we recorded $117.7 million in advertising and marketing services revenues from Alibaba. As of December 31, 2018, we had $48.2 million in accounts receivable due from Alibaba.</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2017, we recorded $84.7 million in advertising and marketing services revenues from Alibaba. As of December 31, 2017, we had $42.8 million in accounts receivable due from Alibaba.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2016, we recorded $57.9 million in advertising and marketing services revenues from Alibaba. As of December 31, 2016, we had $24.3 million in accounts receivable due from Alibaba.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Other Related Parties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2018, we recorded $154.3 million in revenues from other related parties and we recorded $9.3 million in sales and marketing expenses for services received from other related parties. As of December 31, 2018, we had $130.8 million in accounts receivable due from other related parties and $14.4 million in accrued and other liabilities due to other related parties.</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During 2017, we recorded $93.0 million in revenues from other related parties and we recorded $4.1 million in sales and marketing expenses for services received from other related parties. As of December 31, 2017, we had $29.7 million in accounts receivable due from other related parties and $5.0 million in accrued and other liabilities due to other related parties.</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During 2016, we recorded $46.2 million in revenues from other related parties and we recorded $10.6 million in sales and marketing expenses for services received from other related parties. As of December 31, 2016, we had $30.1 million in accounts receivable due from other related parties and $9.3 million in accrued and other liabilities due to other related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6.B. Directors, Senior Management and Employees—Compensation—Employment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6.B. Directors, Senior Management and Employees—Compensation—Share Incentive Plans.”</w:t>
      </w:r>
    </w:p>
    <w:p>
      <w:pPr>
        <w:spacing w:after="0" w:line="225" w:lineRule="exact"/>
        <w:rPr>
          <w:sz w:val="20"/>
          <w:szCs w:val="20"/>
          <w:color w:val="auto"/>
        </w:rPr>
      </w:pPr>
    </w:p>
    <w:p>
      <w:pPr>
        <w:ind w:left="720" w:hanging="712"/>
        <w:spacing w:after="0"/>
        <w:tabs>
          <w:tab w:leader="none" w:pos="7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Interests of Experts and Counsel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225" w:lineRule="exact"/>
        <w:rPr>
          <w:sz w:val="20"/>
          <w:szCs w:val="20"/>
          <w:color w:val="auto"/>
        </w:rPr>
      </w:pPr>
    </w:p>
    <w:p>
      <w:pPr>
        <w:ind w:left="720" w:hanging="712"/>
        <w:spacing w:after="0"/>
        <w:tabs>
          <w:tab w:leader="none" w:pos="7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appended consolidated financial statements at the end of this annual report filed as part of this annual report on Form 20-F.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Company and certain of our current and former directors and officers were named as defendants in two putative securities class actions filed in the United States District Court for the District of New Jersey: Andrew Goldsmith v. Weibo Corporation. et al., Civil Action No. 2:17-cv-04728-SRC-CLW (filed on June 27, 2017) (“Goldsmith Case”) and Feng Chen v. Weibo Corporation. et al., Civil Action No. 2:17-cv-05694 (filed on August 3, 2017) (“Chen Case”). The Goldsmith Case was purportedly brought on behalf of a class of persons who allegedly suffered damages as a result of their trading in our ADSs between April 27 and June 22, 2017; the Chen Case was purportedly brought on behalf of a class of persons who allegedly suffered damages as a result of their trading in our ADSs between April 28, 2016 and June 19, 2017. Both cases’ complaints alleged that our company’s public filings contained material misstatements and omissions in violation of the federal securities laws.</w:t>
      </w:r>
    </w:p>
    <w:p>
      <w:pPr>
        <w:spacing w:after="0" w:line="17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September 28, 2017, the court entered an order appointing a lead plaintiff and consolidating the two cases. On November 27, 2017, the lead plaintiff filed a consolidated class action complaint. On January 26, 2018, our company and one individual defendant filed a motion to dismiss the amended complaint. On June 7, 2018, the court granted our motion to dismiss the class action complaint in its entirety with prejudice.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From time to time, we have been involved in litigation or other disputes regarding, among other things, copyright and trademark infringement, defamation, unfair competition and labor disputes. For example, our company has been named as a defendant in two civil actions filed in Texas and in California by the same individual plaintiff, alleging that her rights under the Fourteenth Amendment to the United States Constitution were violated when our company allegedly shut down her Weibo accounts without good cause. The lawsuit filed in Texas has been dismissed with prejudice while the lawsuit filed in California remains in its preliminary stage. We believe the case is without merit and intend to defend ourselves vigorously.</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For many of these legal proceedings, we are currently unable to estimate the reasonably possible loss or a range of reasonably possible loss as the proceedings are in the early stages, or there is a lack of clear or consistent interpretation of laws specific to the industry-specific complaints among different jurisdictions. As a result, there is considerable uncertainty regarding the timing or ultimate resolution of such proceedings, which includes eventual loss, fine, penalty or business impact, if any, and therefore, an estimate for the reasonably possible loss or a range of reasonably possible loss cannot be made. With respect to the limited number of proceedings for which we are able to estimate the reasonably possible loss or the range of reasonably possible loss, such estimates are immaterial. We believe that such proceedings, individually and in the aggregate, when finally resolved, are not reasonably likely to have a material and adverse effect on our results of operations, financial position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We have not previously declared or paid cash dividends and we have no plan to declare or pay any dividends in the near future on our shares or ADSs. We currently intend to retain most, if not all, of our available funds and any future earnings to operate and expand our business.</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are a holding company incorporated in the Cayman Islands. We rely principally on dividends from our PRC subsidiary for our cash requirements, including any payment of dividends to our shareholders. PRC regulations may restrict the ability of our PRC subsidiary to pay dividends to us. See “Item 3.D. Key Information—Risk Factors—Risks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15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board of directors has discretion as to whether to distribute dividends, subject to applicable laws. In addition, our shareholders may by ordinary resolution declare dividends, but no dividend may exceed the amount recommended by our directors. Under Cayman Islands law, our company may pay dividends only out of either profit or share premium account, provided that in no circumstances may a dividend be paid if this would result in our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our depositary will distribute such dividends to our ADS holders to the same extent as holders of our ordinary shares, subject to the terms of the deposit agreement, including the fees and expenses payable thereunder. See “Item 12.D. Description of Securities Other than Equity Securities—American Depositary Shares.” Cash dividends on our ordinary shares, if any, will be paid in U.S. dollars.</w:t>
      </w:r>
    </w:p>
    <w:p>
      <w:pPr>
        <w:spacing w:after="0" w:line="197" w:lineRule="exact"/>
        <w:rPr>
          <w:sz w:val="20"/>
          <w:szCs w:val="20"/>
          <w:color w:val="auto"/>
        </w:rPr>
      </w:pPr>
    </w:p>
    <w:p>
      <w:pPr>
        <w:ind w:left="720" w:hanging="712"/>
        <w:spacing w:after="0"/>
        <w:tabs>
          <w:tab w:leader="none" w:pos="7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Significant Changes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not experienced any significant changes since the date of our audited consolidated financial statements included in this annual report.</w:t>
      </w:r>
    </w:p>
    <w:p>
      <w:pPr>
        <w:spacing w:after="0" w:line="2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29" w:lineRule="exact"/>
        <w:rPr>
          <w:sz w:val="20"/>
          <w:szCs w:val="20"/>
          <w:color w:val="auto"/>
        </w:rPr>
      </w:pPr>
    </w:p>
    <w:p>
      <w:pPr>
        <w:ind w:left="720" w:hanging="712"/>
        <w:spacing w:after="0"/>
        <w:tabs>
          <w:tab w:leader="none" w:pos="7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Offer and Listing Details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ADSs, each representing one of our Class A ordinary shares, have been quoted on the NASDAQ Global Select Market system under the symbol “WB” since April 17, 2014.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hanging="712"/>
        <w:spacing w:after="0"/>
        <w:tabs>
          <w:tab w:leader="none" w:pos="7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Plan of Distribution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720" w:hanging="712"/>
        <w:spacing w:after="0"/>
        <w:tabs>
          <w:tab w:leader="none" w:pos="7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ADSs, each representing one of our Class A ordinary shares, have been quoted on the NASDAQ Global Select Market system under the symbol “WB” since April 17, 2014.</w:t>
      </w:r>
    </w:p>
    <w:p>
      <w:pPr>
        <w:spacing w:after="0" w:line="170" w:lineRule="exact"/>
        <w:rPr>
          <w:sz w:val="20"/>
          <w:szCs w:val="20"/>
          <w:color w:val="auto"/>
        </w:rPr>
      </w:pPr>
    </w:p>
    <w:p>
      <w:pPr>
        <w:ind w:left="720" w:hanging="712"/>
        <w:spacing w:after="0"/>
        <w:tabs>
          <w:tab w:leader="none" w:pos="7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Selling Shareholders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720" w:hanging="712"/>
        <w:spacing w:after="0"/>
        <w:tabs>
          <w:tab w:leader="none" w:pos="7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680" w:hanging="672"/>
        <w:spacing w:after="0"/>
        <w:tabs>
          <w:tab w:leader="none" w:pos="6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Expenses of the Issue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229" w:lineRule="exact"/>
        <w:rPr>
          <w:sz w:val="20"/>
          <w:szCs w:val="20"/>
          <w:color w:val="auto"/>
        </w:rPr>
      </w:pPr>
    </w:p>
    <w:p>
      <w:pPr>
        <w:ind w:left="720" w:hanging="712"/>
        <w:spacing w:after="0"/>
        <w:tabs>
          <w:tab w:leader="none" w:pos="7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720" w:hanging="712"/>
        <w:spacing w:after="0"/>
        <w:tabs>
          <w:tab w:leader="none" w:pos="7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Memorandum and Articles of Association</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are a Cayman Islands exempted company and our affairs are governed by our memorandum and articles of association and the Companies Law (2018 Revision) of the Cayman Islands, referred to as the Companies Law below. The following are summaries of certain provisions of our memorandum and articles of association in effect as of the date of this annual report insofar as they relate to the material terms of our ordinary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 and Objects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registered office in the Cayman Islands is located at the offices of Floor 4, Willow House, Cricket Square, P. O. Box 2804, Grand Cayman KY1-1112, Cayman Islands. The memorandum of association provides, inter alia, that the liability of the members of our company is limited to the amount from time to time unpaid on such member’s shares. The objects for which our company is established are unrestricted, and we shall have full power and authority to carry out any object not prohibited or limited by the Companies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See “Item 6.C. Directors, Senior Management and Employees—Board Practices—Duties of Directors” and “Item 6.C. Directors, Senior Management and Employees—Board Practices—Terms of Directors and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Based on the assumptions and qualifications in its opinion that is filed as an exhibit to the registration statement that includes our prospectus dated April 16, 2014, our Cayman Islands counsel, Maples and Calder (Hong Kong) LLP, has advised us that all of our issued and outstanding ordinary shares are fully paid and non-assessable. Certificates representing the ordinary shares are issued in registered form. Our shareholders who are non-residents of the Cayman Islands may freely hold and vote their ordinary shares. Our company will issue only non-negotiable shares, and will not issue bearer or negotiable shares.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Cayman Islands law, we must keep a register of members and there should be entered therein:</w:t>
      </w:r>
    </w:p>
    <w:p>
      <w:pPr>
        <w:spacing w:after="0" w:line="225" w:lineRule="exact"/>
        <w:rPr>
          <w:sz w:val="20"/>
          <w:szCs w:val="20"/>
          <w:color w:val="auto"/>
        </w:rPr>
      </w:pPr>
    </w:p>
    <w:p>
      <w:pPr>
        <w:ind w:left="980" w:right="200" w:hanging="324"/>
        <w:spacing w:after="0" w:line="277" w:lineRule="auto"/>
        <w:tabs>
          <w:tab w:leader="none" w:pos="94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completion of our initial public offering, our company’s register of members was updated to record and give effect to the issue of shares by us to the Depositary (or its nominee) as the depositary, and the shareholders recorded in the register of members are deemed to have legal title to the shares set against their name.</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holders of our ordinary shares are entitled to such dividends as may be declared by our board of directors or shareholders in general meeting (provided always no dividend may exceed the amount recommended by our directors, and provided further that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Classes of Ordinary Shares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w:t>
      </w:r>
    </w:p>
    <w:p>
      <w:pPr>
        <w:spacing w:after="0" w:line="18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Each Class B ordinary share is convertible into one Class A ordinary share at any time by the holder thereof. In addition, (i) each Class B ordinary share shall automatically and immediately be converted into one Class A ordinary share if at any time Sina Corporation and its Affiliates (as defined in our memorandum and articles of association) in the aggregate hold less than five percent (5%) of the issued Class B ordinary shares in our company, and no Class B ordinary shares shall be issued by our company thereafter, and (ii) upon any sale, transfer, assignment or disposition of Class B ordinary shares by a holder thereof to any person or entity which is not an Affiliate (as defined in our memorandum and articles of association) of such holder, such Class B ordinary shares shall be automatically and immediately converted (by way of being re-designated) into an equal number of Class A ordinary shares. Class A ordinary shares are not convertible into Class B ordinary shares under any circumstances.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color w:val="auto"/>
        </w:rPr>
        <w:t>Holders of ordinary shares have the right to receive notice of, attend, speak and vote at general meetings of our company.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three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Maples and Calder (Hong Kong) LLP,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Law and not inconsistent with common law. Maples and Calder (Hong Kong) LLP has confirmed that the inclusion in our memorandum and articles of association of provisions giving weighted voting rights to specific shareholders generally or on specific resolutions is not prohibited by the Companies Law. Further, weighted voting provisions have been held to be valid as a matter of English common law and therefore it is expected that such would be upheld by a Cayman Islands court.</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attached to the ordinary shares cast by those shareholders who are present in person or by proxy at a general meeting, while a special resolution requires the affirmative vote of no less than two-thirds of the votes attached to the ordinary shares cast by those shareholders who are present in person or by proxy at a general meeting. Both ordinary resolutions and special resolutions may also be passed by a unanimous written resolution signed by all the shareholders of our company, as permitted by the Companies Law and our memorandum and articles of association. A special resolution will be required for important matters such as a change of name or making changes to our memorandum and articles of association.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Any of our shareholders may transfer all or any of his or her ordinary shares by an instrument of transfer in the usual or common form or any other form approved by our board of directors.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170" w:lineRule="exact"/>
        <w:rPr>
          <w:sz w:val="20"/>
          <w:szCs w:val="20"/>
          <w:color w:val="auto"/>
        </w:rPr>
      </w:pPr>
    </w:p>
    <w:p>
      <w:pPr>
        <w:ind w:left="980" w:right="80" w:hanging="324"/>
        <w:spacing w:after="0" w:line="277" w:lineRule="auto"/>
        <w:tabs>
          <w:tab w:leader="none" w:pos="9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ordinary shares transferred are free of any lien in favor of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fee related to the transfer has been paid to us;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case of a transfer to joint holders, the transfer is not to more than four joint holders.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If our directors refuse to register a transfer they are required, within two months after the date on which the instrument of transfer was lodged, to send to each of the transferor and the transferee notice of such refusal.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 We are a “limited liability” company registered under the Companies Law, and under the Companies Law, the liability of our members is limited to the amount, if any, unpaid on the shares respectively held by them. Our memorandum of association contains a declaration that the liability of our members is so limited.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Calls on Ordinary Shares and Forfeiture of Ordinary shares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ordinary shares. The ordinary shares that have been called upon and remain unpaid are subject to forfeiture.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at any time, our share capital is divided into different classes of shares, all or any of the special rights attached to any class of shares may be varied with the consent in writing of the holders of two-thirds in nominal value of the issued shares of that class or with the sanction of a special resolution passed at a general meeting of the holders of shares of that class. The rights conferred upon the holders of the shares of any class issued with preferred or other rights will not, unless otherwise expressly provided by the terms of issue of the shares of that class, be deemed to be varied by the creation or issue of further shares ranking pari passu with such existing class of shares.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Meetings of Shareholders and Shareholder Proposals</w:t>
      </w:r>
    </w:p>
    <w:p>
      <w:pPr>
        <w:spacing w:after="0" w:line="225"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As a Cayman Islands exempted company, we are not obliged by the Companies Law to call shareholders’ annual general meetings. Our memorandum and articles of association provide that we shall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Advance notice of at least fourteen calendar days is required for the convening of our annual general shareholders’ meeting and any other general meeting of our shareholders. A quorum required for a general meeting of shareholders consists of at least one shareholder present or by proxy, representing not less than one-third of the total voting power of their outstanding shares in our company.</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two or more shareholders holding shares representing in aggregate not less than one-third of the total voting rights in the paid up capital of our company, to requisition an extraordinary general meeting of the shareholders, in which case our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determined by our company in general meeting, our articles provide that our board will consist of not less than two directors. There are no provisions relating to retirement of directors upon reaching any age limit.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directors have the power to appoint any person as a director either to fill a casual vacancy on the board or as an addition to the existing board. Any director so appointed shall hold office only until the next following annual general meeting of our company and shall then be eligible for re-election at that meeting. At each annual general meeting, one-third of the directors for the time being,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(unless they otherwise agree between themselves) be determined by lot. A retiring director shall retain office until the close of the meeting at which he retires, and shall be eligible for re-election thereat.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may also appoint any person to be a director by way of ordinary resolution.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director may be removed with or without cause by an ordinary resolution of our shareholders. A director will be removed from office automatically if, among other things, the director (1) becomes bankrupt or has a receiving order made against him or suspends payment or compounds with his creditors generally; or (2) dies or an order is made by any competent court or official on the grounds that he is or may be suffering from mental disorder or is otherwise incapable of managing his affairs and the board of directors resolves that his office be vacated; or (3) without leave, is absent from meetings of the board for a continuous period of 12 months, and the board resolves that his office be vacated; or (4) ceases to be or is prohibited from being a director by law or by virtue of any provisions in our articles of association; or (5) is removed from office by notice in writing served upon him signed by not less than three-fourths in number (or, if that is not a round number, the nearest lower round number) of our directors (including himself) then in office.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Proceedings of Board of Directors</w:t>
      </w:r>
    </w:p>
    <w:p>
      <w:pPr>
        <w:spacing w:after="0" w:line="225"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Our memorandum and articles of association provide that our business is to be managed and conducted by our board of directors. The quorum necessary for board meetings may be fixed by the board and, unless so fixed at another number, will be a majority of the directors then in office.</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memorandum and articles of association provide that the board may from time to time at its discretion exercise all powers of our company to raise or borrow or to secure the payment of any sum or sums of money for the purposes of our company and to mortgage or charge its undertaking, property and assets (present and future) and uncalled capital of our company and issue debentures, bonds and other securities of our company, whether outright or as collateral security for any debt, liability or obligation of our company or of any third party.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our ordinary shares have no general right under Cayman Islands law to inspect or obtain copies of our list of shareholders or our corporate records. However, we intend to provide our shareholders with annual audited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may from time to time by ordinary resolution:</w:t>
      </w:r>
    </w:p>
    <w:p>
      <w:pPr>
        <w:spacing w:after="0" w:line="225" w:lineRule="exact"/>
        <w:rPr>
          <w:sz w:val="20"/>
          <w:szCs w:val="20"/>
          <w:color w:val="auto"/>
        </w:rPr>
      </w:pPr>
    </w:p>
    <w:p>
      <w:pPr>
        <w:ind w:left="940" w:hanging="284"/>
        <w:spacing w:after="0"/>
        <w:tabs>
          <w:tab w:leader="none" w:pos="9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 our share capital by such sum, to be divided into shares of such amount, as the resolution shall prescribe;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225" w:lineRule="exact"/>
        <w:rPr>
          <w:rFonts w:ascii="Arial" w:cs="Arial" w:eastAsia="Arial" w:hAnsi="Arial"/>
          <w:sz w:val="18"/>
          <w:szCs w:val="18"/>
          <w:color w:val="auto"/>
        </w:rPr>
      </w:pPr>
    </w:p>
    <w:p>
      <w:pPr>
        <w:ind w:left="980" w:right="120" w:hanging="324"/>
        <w:spacing w:after="0" w:line="264" w:lineRule="auto"/>
        <w:tabs>
          <w:tab w:leader="none" w:pos="944"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40" w:hanging="324"/>
        <w:spacing w:after="0" w:line="277" w:lineRule="auto"/>
        <w:tabs>
          <w:tab w:leader="none" w:pos="94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cancelled.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Exempted Company</w:t>
      </w:r>
    </w:p>
    <w:p>
      <w:pPr>
        <w:spacing w:after="0" w:line="225" w:lineRule="exact"/>
        <w:rPr>
          <w:sz w:val="20"/>
          <w:szCs w:val="20"/>
          <w:color w:val="auto"/>
        </w:rPr>
      </w:pPr>
    </w:p>
    <w:p>
      <w:pPr>
        <w:jc w:val="both"/>
        <w:ind w:right="220" w:firstLine="648"/>
        <w:spacing w:after="0" w:line="279" w:lineRule="auto"/>
        <w:rPr>
          <w:sz w:val="20"/>
          <w:szCs w:val="20"/>
          <w:color w:val="auto"/>
        </w:rPr>
      </w:pPr>
      <w:r>
        <w:rPr>
          <w:rFonts w:ascii="Arial" w:cs="Arial" w:eastAsia="Arial" w:hAnsi="Arial"/>
          <w:sz w:val="17"/>
          <w:szCs w:val="17"/>
          <w:color w:val="auto"/>
        </w:rPr>
        <w:t>We are an exempted company with limited liability under the Companies Law of the Cayman Islands. The Companies Law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71" w:lineRule="exact"/>
        <w:rPr>
          <w:sz w:val="20"/>
          <w:szCs w:val="20"/>
          <w:color w:val="auto"/>
        </w:rPr>
      </w:pPr>
    </w:p>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exempted company’s register of members is not required to be open to inspection;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exempted company may issue no par value, negotiable or bearer shares;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Except as otherwise disclosed in this annual report, we currently intend to comply with the NASDAQ rules in lieu of following home country practice.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(representing 75% by value)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78" w:lineRule="exact"/>
        <w:rPr>
          <w:sz w:val="20"/>
          <w:szCs w:val="20"/>
          <w:color w:val="auto"/>
        </w:rPr>
      </w:pPr>
    </w:p>
    <w:p>
      <w:pPr>
        <w:ind w:left="940" w:hanging="284"/>
        <w:spacing w:after="0"/>
        <w:tabs>
          <w:tab w:leader="none" w:pos="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25"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171" w:lineRule="exact"/>
        <w:rPr>
          <w:sz w:val="20"/>
          <w:szCs w:val="20"/>
          <w:color w:val="auto"/>
        </w:rPr>
      </w:pPr>
    </w:p>
    <w:p>
      <w:pPr>
        <w:ind w:left="940" w:hanging="284"/>
        <w:spacing w:after="0"/>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acts which is illegal or ultra vires;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act which, although not ultra vires, could only be effected duly if authorized by a special or qualified majority vote that has not been obtained;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act which constitutes a fraud on the minority where the wrongdoers are themselves in control of 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directors and officers shall be indemnified out of the assets and profits of our company from and against all actions, costs, charges, losses, damages and expenses which they shall or may incur or sustain by or by reason of any act done, concurred in or omitted in or about the execution of their duty, or supposed duty, in their respective offices or trusts, provided that this indemnity shall not extend to any matter in respect of any fraud or dishonesty which may attach to any of said persons.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w:t>
      </w:r>
    </w:p>
    <w:p>
      <w:pPr>
        <w:spacing w:after="0" w:line="18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Anti-Takeover Provisions in the Memorandum and Articles of Association</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owes the following duties to the company — 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any two or more shareholders holding shares representing in aggregate not less than one-third of the total voting rights in the paid up capital of our company, the board shall convene an extraordinary general meeting. However, our memorandum and articles of association do not provide our shareholders with any right to put any proposals before annual general meetings or extraordinary general meetings not called by such shareholders. As an exempted Cayman Islands company, we are not obliged by law to call shareholders’ annual general meetings, but our memorandum and articles of association obliges our company in each year to hold a general meeting as its annual general meeting in addition to any other meeting in that year. The annual general meeting may be held at such time and place as our board of directors shall appoint.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articles of association do not provide for cumulative voting. As a result, our shareholders are not afforded any less protections or rights on this issue than shareholders of a Delaware corporation.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by ordinary resolution of our shareholders.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articles of association, if our share capital is divided into more than one class of shares, we may vary the rights attached to any class only with the written consent of the holders of two-thirds in nominal value of the issued shares of that class or with the sanction of a special resolution passed at a general meeting of the holders of shares of that class.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Law, our memorandum and articles of association may only be amended by special resolution of our shareholders.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 Power to Issue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our memorandum and articles of association, our board of directors is empowered to issue or allot shares or grant options and warrants with or without preferred, deferred, qualified or other special rights or restrictions.</w:t>
      </w:r>
    </w:p>
    <w:p>
      <w:pPr>
        <w:spacing w:after="0" w:line="170"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Material Contracts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have not entered into any material contracts for the two years immediately preceding the date of this annual report other than in the ordinary course of business and other than those described elsewhere in this annual report on Form 20-F.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Exchange Controls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See “Item 4.B. Information on the Company—Business Overview—Regulation—Regulations on Foreign Exchange.” and “Item 3.D. Key Information—Risk Factors—Risks Relating to Doing Business in China—We may be subject to penalties, including restriction on our ability to inject capital into our PRC subsidiary and our PRC subsidiary’s ability to distribute profits to us, if our PRC resident shareholders beneficial owners fail to comply with relevant PRC foreign exchange rules.”</w:t>
      </w:r>
    </w:p>
    <w:p>
      <w:pPr>
        <w:spacing w:after="0" w:line="187"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following summary of material Cayman Islands, PRC and U.S. federal income tax consequences of an investment in our ADSs or Class A ordinary shares is based upon laws and relevant interpretations thereof in effect as of the date of this annual report, all of which are subject to change. This summary does not deal with all possible tax consequences relating to an investment in our ADSs or Class A ordinary shares, such as the tax consequences under state, local and other tax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Although we are incorporated in the Cayman Islands, we may be treated as a PRC resident enterprise for PRC tax purposes under the Enterprise Income Tax Law. The Enterprise Income Tax Law provides that an enterprise established under the laws of a foreign country or region but whose “de facto management body” is located in the PRC is treated as a PRC resident enterprise for PRC tax purposes and consequently subject to the PRC income tax at the rate of 25% on its global income. The implementing rules of the Enterprise Income Tax Law merely define the location of the “de facto management body” as the place where the “organizational body which effectively manages and controls the production and business operation, personnel, accounting, properties and other aspects of operations of an enterprise” is located. Based on a review of surrounding facts and circumstances, we do not believe that Weibo Corporation or Weibo HK should be considered a PRC resident enterprise for PRC tax purposes. However, there is limited guidance and implementation history of the Enterprise Income Tax Law, and if Weibo Corporation is treated as a PRC resident enterprise for PRC tax purposes, it will be subject to PRC tax on its global income at a uniform tax rate of 25%.</w:t>
      </w:r>
    </w:p>
    <w:p>
      <w:pPr>
        <w:spacing w:after="0" w:line="18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if Weibo Corporation is a PRC resident enterprise, PRC income tax at the rate of 10% will generally be applicable to interest and dividends payable by us to investors that are “non-resident enterprises” of the PRC, if such investors do not have an establishment or place of business in the PRC, or if they have such establishment or place of business in the PRC but the relevant income is not effectively connected with such establishment or place of business, to the extent such interest or dividends have their sources within the PRC. Such 10% tax rate could be reduced by applicable tax treaties or similar arrangements between China and the jurisdiction of the investor. For example, for investors in Hong Kong, the tax rate is reduced to 7% for interest payments and 5% for dividends.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Furthermore, any gain realized on the transfer of our ADSs or Class A ordinary shares by such investors would also be subject to PRC income tax at 10% if such gain is regarded as income derived from sources within the PRC.</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most of our operations are located within the PRC, interest and dividends payable by us to you, as well as any gain you may realize from the sale of our ADSs or Class A ordinary shares, may be deemed to be derived from sources within China. As a result, if we are treated as a “resident enterprise” for PRC tax purposes, such interest, dividends and gain may be subject to PRC tax. Any such tax may materially and adversely affect the value of your investment in our ADSs and Class A ordinary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following discussion is a summary of U.S. federal income tax considerations relating to the ownership and disposition of our ADSs or Class A ordinary shares by U.S. Holders (as defined below) that will hold our ADSs or Class A ordinary shares as “capital assets” (generally, property held for investment) under the U.S. Internal Revenue Code of 1986, as amended (the “Code”). This discussion is based upon applicable provisions of the Code, Treasury regulations promulgated thereunder (“Regulations”), pertinent judicial decisions and interpretive rulings of the Internal Revenue Service (the “IRS”), all of which are subject to change, possibly with retroactive effect. This discussion does not address all aspects of U.S. federal income taxation that may be relevant to particular investors in light of their individual investment circumstances, including investors subject to special tax rules (for example, certain financial institutions, insurance companies, broker-dealers, pension plans, regulated investment companies, real estate investment trusts, cooperatives, tax-exempt organizations (including private foundations), holders who are not U.S. Holders, holders who own (directly, indirectly, or constructively) 10% or more of our equity (by vote or value), investors that will hold their ADSs or Class A ordinary shares as part of a straddle, hedge, conversion, constructive sale, or other integrated transaction for U.S. federal income tax purposes, investors that are traders in securities that have elected the mark-to-market method of accounting, investors that have a functional currency other than the U.S. dollar, or certain former citizens or long-term residents of the United States), all of whom may be subject to tax rules that differ significantly from those discussed below.</w:t>
      </w:r>
    </w:p>
    <w:p>
      <w:pPr>
        <w:spacing w:after="0" w:line="180" w:lineRule="exact"/>
        <w:rPr>
          <w:sz w:val="20"/>
          <w:szCs w:val="20"/>
          <w:color w:val="auto"/>
        </w:rPr>
      </w:pPr>
    </w:p>
    <w:p>
      <w:pPr>
        <w:jc w:val="both"/>
        <w:ind w:right="740" w:firstLine="648"/>
        <w:spacing w:after="0" w:line="264" w:lineRule="auto"/>
        <w:rPr>
          <w:sz w:val="20"/>
          <w:szCs w:val="20"/>
          <w:color w:val="auto"/>
        </w:rPr>
      </w:pPr>
      <w:r>
        <w:rPr>
          <w:rFonts w:ascii="Arial" w:cs="Arial" w:eastAsia="Arial" w:hAnsi="Arial"/>
          <w:sz w:val="18"/>
          <w:szCs w:val="18"/>
          <w:color w:val="auto"/>
        </w:rPr>
        <w:t>In addition, this discussion does not address any non-U.S., state, local or any U.S. federal estate, gift, alternative minimum tax or Medicare contribution tax considerations. You are urged to consult your tax advisor regarding the U.S. federal, state, local, and non-U.S. income and other tax considerations of owning and disposing of our ADSs or Class A ordinary shares.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the purposes of this discussion , a “U.S. Holder” is a beneficial owner of our ADSs or Class A ordinary shares that is for U.S. federal income tax purposes, (i) an individual citizen or resident of the United States, (ii) a corporation, or other entity treated as a corporation for U.S. federal income tax purposes, created in, or organized under the law of the United States, any state thereof or the District of Columbia, (iii) an estate the income of which is subject to U.S. federal income taxation regardless of its source, or (iv) a trust that (A) is subject to the primary supervision of a court within the United States and all substantial decisions of which one or more U.S. persons have the authority to control or (B) has a valid election in effect under applicable Regulations to be treated as a U.S. person.</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a partner in a partnership or other entity treated as a partnership for U.S. federal income tax purposes that holds our ADSs or Class A ordinary shares, the tax treatment of a partner in such partnership will generally depend on the status of the partner and the activities of the partnership. A partner in a partnership holding our ADSs or Class A ordinary shares should consult its tax advisor regarding the tax consideration of holding and disposing of our ADSs or Class A ordinary shares.</w:t>
      </w:r>
    </w:p>
    <w:p>
      <w:pPr>
        <w:spacing w:after="0" w:line="18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discussion below assumes that the representations contained in the deposit agreement are true and that the obligations in the deposit agreement and any related agreement have been and will be complied with in accordance with the terms. If a U.S. Holder holds ADSs, such holder should be treated as the holder of the underlying ordinary shares represented by those ADSs for U.S. federal income tax purposes.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is categorized as a passive asset and the company’s unbooked intangibles associated with active business activity are taken into account as a non-passive asset. We will be treated as owning our proportionate share of the assets and earning our proportionate share of the income of any other corporation in which we own, directly or indirectly, more than 25% (by value) of the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Although the law in this regard is not entirely clear, we treat Weimeng as being owned by us for U.S. federal income tax purposes because we control its management decisions and we are entitled to substantially all of its economic benefits, and, as a result, we consolidate its results of operations in our consolidated U.S. GAAP financial statements. If it were determined, however, that we are not the owner of Weimeng for U.S. federal income tax purposes, we would likely be treated as a PFIC for our current taxable year and any subsequent taxable year.</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Assuming we are the owner of Weimeng for U.S. federal income tax purposes, based on our income and assets, and the value of our ADSs, we do not believe that we were a PFIC for our taxable year ended December 31, 2018 and do not expect to be a PFIC for our current taxable year. While we do not anticipate becoming a PFIC, changes in the nature of our income or assets or the value of our ADSs may cause us to become a PFIC for the current or any subsequent taxable year. Under circumstances where revenues from activities that produce passive income significantly increase relative to our revenues from activities that produce non-passive income, or where we determine not to expend significant amounts of cash for working capital or other purposes, our risk of becoming classified as a PFIC may substantially increase.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classified as a PFIC for any taxable year during which a U.S. Holder holds our ADSs or Class A ordinary shares, the PFIC tax</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rules discussed below under “—Passive Foreign Investment Company Rules” generally will apply to such U.S. Holder for such taxable year and, unless the U.S. Holder makes certain elections, will apply in future years even if we cease to be a PFIC. The discussion below under “—Dividends” and “—Sale or Other Disposition of ADSs or Class A Ordinary Shares” assumes that we will not be classified as a PFIC for U.S. federal income tax purposes.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Any cash distributions (including the amount of any PRC tax withheld if we are deemed to be a PRC resident enterprise under PRC tax law) paid on our ADSs or Class A ordinary shares out of our current or accumulated earnings and profits, as determined under U.S. federal income tax principles, will generally be includible in a U.S. Holder’s gross income as dividend income on the day actually or constructively received by such holder. Because we do not intend to determine our earnings and profits on the basis of U.S. federal income tax principles, any distribution paid will generally be treated as dividend income for U.S. federal income tax purposes. Dividends received on our ADSs or Class A ordinary shares will not be eligible for the dividends received deduction allowed to corporations under the Code.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Individuals and other non-corporate recipients will be subject to tax at the lower capital gain tax rate applicable to “qualified dividend income,” provided that certain conditions are satisfied, including that (1) our ADSs are readily tradable on an established securities market in the United States, or, in the event that we are deemed to be a PRC resident enterprise under the PRC tax law, we are eligible for the benefit of the U.S.-PRC income tax treaty (the “Treaty”), (2) we are neither a PFIC nor treated as such with respect to a U.S. Holder (as discussed below) for the taxable year in which the dividend was paid and the preceding taxable year, and (3) certain holding period requirements are met. Our ADSs, but not our Class A ordinary shares, are listed on the NASDAQ Global Select Market so we anticipate that our ADSs should qualify as readily tradable on an established securities market in the United States, although there can be no assurances in this regard.</w:t>
      </w:r>
    </w:p>
    <w:p>
      <w:pPr>
        <w:spacing w:after="0" w:line="1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the event that we are deemed to be a PRC resident enterprise under PRC tax law, you may be subject to PRC withholding taxes on dividends paid on our ADSs or Class A ordinary shares. If we are deemed to be a PRC resident enterprise, we may, however, be eligible for the benefits of the Treaty. If we are eligible for such benefits, dividends we pay on our Class A ordinary shares, regardless of whether such shares are represented by our ADSs, would be eligible for the reduced rates of taxation applicable to qualified dividend income, as discussed above.</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For U.S. foreign tax credit purposes, dividends will generally be treated as income from foreign sources and will generally constitute passive category income. Depending on a Holder’s particular circumstances, such holder may be eligible, subject to a number of complex limitations, to claim a foreign tax credit in respect of any foreign withholding taxes imposed on dividends received on our ADSs or Class A ordinary shares. If a U.S. Holder does not elect to claim a foreign tax credit for foreign tax withheld, such holder is permitted instead to claim a deduction, for U.S. federal income tax purposes, for the foreign tax withheld, but only for a year in which such holder elects to do so for all creditable foreign income taxes. The rules governing the foreign tax credit are complex. U.S. Holders should consult their tax advisors regarding the availability of the foreign tax credit under their particular circumstances.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Disposition of ADSs or Class A Ordinary Shares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 U.S. Holder will generally recognize capital gain or loss upon the sale or other disposition of our ADSs or Class A ordinary shares in an amount equal to the difference, if any, between the amount realized upon the disposition and such holder’s adjusted tax basis in such ADSs or Class A ordinary shares. Any capital gain or loss will be long-term capital gain or loss if the U.S. Holder held the ADSs or Class A ordinary shares for more than one year and will generally be U.S.-source gain or loss for U.S. foreign tax credit purposes. In the event that we are deemed to be a PRC resident enterprise under PRC tax law, and gain from the disposition of the ADSs or Class A ordinary shares would be subject to tax in the PRC, such gain may be treated as PRC-source gain for U.S. foreign tax credit purposes under the Treaty. The deductibility of a capital loss may be subject to limitations. U.S. Holders should consult their tax advisors regarding the tax considerations if a foreign tax is imposed on a disposition of our ADSs or Class A ordinary shares, including the availability of the foreign tax credit under their particular circumstances.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If we are a PFIC for any taxable year during which a U.S. Holder holds our ADSs or Class A ordinary shares, such holder will be subject to special tax rules with respect to any “excess distribution” that such holder receives and any gain such holder realizes from a sale or other disposition (including a pledge) of our ADSs or Class A ordinary shares, unless such holder makes a “mark-to-market” election as discussed below. Distributions a U.S. Holder receives in a taxable year that are greater than 125% of the average annual distributions such holder received during the shorter of the three preceding taxable years or such holder’s holding period for the ADSs or Class A ordinary shares will be treated as an excess distribution. Under these special tax rules:</w:t>
      </w:r>
    </w:p>
    <w:p>
      <w:pPr>
        <w:spacing w:after="0" w:line="158" w:lineRule="exact"/>
        <w:rPr>
          <w:sz w:val="20"/>
          <w:szCs w:val="20"/>
          <w:color w:val="auto"/>
        </w:rPr>
      </w:pPr>
    </w:p>
    <w:p>
      <w:pPr>
        <w:ind w:left="940" w:hanging="284"/>
        <w:spacing w:after="0"/>
        <w:tabs>
          <w:tab w:leader="none" w:pos="9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such holder’s holding period for the ADSs or Class A ordinary shares;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amounts allocated to the current taxable year and any taxable years in such holder’s holding period prior to the first taxable year in which we are classified as a PFIC (a “pre-PFIC year”) will be taxable as ordinary income;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amounts allocated to each prior taxable year, other than the current taxable year or a pre-PFIC year, will be subject to tax at the highest tax rate in effect applicable to such holder for that year, and such amounts will be increased by an additional tax equal to interest on the resulting tax deemed deferred with respect to such years.</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and any of our non-U.S. subsidiaries are also PFICs, such holder will be treated as owning a proportionate amount (by value) of the shares of each such non-U.S. subsidiary classified as a PFIC for purposes of the application of these rules.</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Alternatively, a U.S. Holder of “marketable stock” (as defined below) in a PFIC may make a mark-to-market election for such stock of a PFIC to elect out of the tax treatment discussed in the two preceding paragraphs. If a U.S. Holder makes a valid mark-to-market election for the ADSs, such holder will include in income each year an amount equal to the excess, if any, of the fair market value of the ADSs as of the close of such holder’s taxable year over such holder’s adjusted basis in such ADSs. The U.S. Holder will be allowed a deduction for the excess, if any, of the adjusted basis of the ADSs over their fair market value as of the close of the taxable year. However, deductions will be allowable only to the extent of any net mark-to-market gains on the ADSs included in the U.S. Holder’s income for prior taxable years. Amounts included in the U.S. Holder’s income under a mark-to-market election, as well as gain on the actual sale or other disposition of the ADSs, will be treated as ordinary income. Ordinary loss treatment will also apply to the deductible portion of any mark-to-market loss on the ADSs, as well as to any loss realized on the actual sale or disposition of the ADSs, to the extent that the amount of such loss does not exceed the net mark-to-market gains previously included for such ADSs. A U.S. Holder’s basis in the ADSs will be adjusted to reflect any such gain or loss amounts. If a U.S. Holder makes a mark-to-market election, tax rules that apply to distributions by corporations which are not PFICs would apply to distributions by us (except that the lower applicable capital gains rate would not apply). If a U.S. Holder makes a valid mark-to-market election, and we subsequently cease to be classified as a PFIC, such holder will not be required to take into account the mark-to-market income or loss described above during any period that we are not classified as a PFIC.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Regulations. Our ADSs are listed on the NASDAQ Global Select Market, which is a qualified exchange for these purposes, and, consequently, assuming that the ADSs are regularly traded, it is expected that the mark-to-market election would be available to U.S. Holders of ADSs if we are or become a PFIC. However, a mark-to-market election may not be made with respect to our Class A ordinary shares as they are not marketable stock. Accordingly, if we are a PFIC during any year in which a U.S. Holder holds Class A ordinary shares, such holder will generally be subject to the special tax rules discussed above.</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Because, as a technical matter, a mark-to-market election cannot be made for any lower-tier PFICs that we may own, a U.S. Holder may continue to be subject to the PFIC rules with respect to such holder’s indirect interest in any investments held by us that are treated as an equity interest in a PFIC for U.S. federal income tax purposes.</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If we agreed to provide the necessary information, a U.S. Holder could avoid the interest charge imposed by the PFIC rules by making a qualified electing fund election, in which case such holder would generally be required to include in income on a current basis such holder’s pro rata share of our ordinary earnings as ordinary income and such holder’s pro rata share of our net capital gains as capital gain. However, we do not intend to provide information necessary for U.S. Holders to make qualified electing fund elections, and we make no undertaking to provide such information in the event that we are or become a PFIC.</w:t>
      </w:r>
    </w:p>
    <w:p>
      <w:pPr>
        <w:spacing w:after="0" w:line="18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If we are classified as a PFIC, a U.S. Holder must file an annual report with the IRS. U.S. Holders should consult their tax advisors concerning the U.S. federal income tax considerations of owning and disposing of our ADSs or Class A ordinary shares if we are or become a PFIC, including the unavailability of a qualified electing fund election, the possibility of making a mark-to-market election and the annual PFIC filing requirements, if any.</w:t>
      </w:r>
    </w:p>
    <w:p>
      <w:pPr>
        <w:spacing w:after="0" w:line="147" w:lineRule="exact"/>
        <w:rPr>
          <w:sz w:val="20"/>
          <w:szCs w:val="20"/>
          <w:color w:val="auto"/>
        </w:rPr>
      </w:pPr>
    </w:p>
    <w:p>
      <w:pPr>
        <w:ind w:left="660" w:right="8580" w:hanging="652"/>
        <w:spacing w:after="0" w:line="498" w:lineRule="auto"/>
        <w:tabs>
          <w:tab w:leader="none" w:pos="65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Dividends and Paying Agents </w:t>
      </w:r>
      <w:r>
        <w:rPr>
          <w:rFonts w:ascii="Arial" w:cs="Arial" w:eastAsia="Arial" w:hAnsi="Arial"/>
          <w:sz w:val="18"/>
          <w:szCs w:val="18"/>
          <w:color w:val="auto"/>
        </w:rPr>
        <w:t>Not applicable.</w:t>
      </w:r>
    </w:p>
    <w:p>
      <w:pPr>
        <w:spacing w:after="0" w:line="5" w:lineRule="exact"/>
        <w:rPr>
          <w:rFonts w:ascii="Arial" w:cs="Arial" w:eastAsia="Arial" w:hAnsi="Arial"/>
          <w:sz w:val="18"/>
          <w:szCs w:val="18"/>
          <w:b w:val="1"/>
          <w:bCs w:val="1"/>
          <w:color w:val="auto"/>
        </w:rPr>
      </w:pPr>
    </w:p>
    <w:p>
      <w:pPr>
        <w:ind w:left="660" w:right="9180" w:hanging="652"/>
        <w:spacing w:after="0" w:line="598" w:lineRule="auto"/>
        <w:tabs>
          <w:tab w:leader="none" w:pos="669"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Statement by Experts </w:t>
      </w:r>
      <w:r>
        <w:rPr>
          <w:rFonts w:ascii="Arial" w:cs="Arial" w:eastAsia="Arial" w:hAnsi="Arial"/>
          <w:sz w:val="15"/>
          <w:szCs w:val="15"/>
          <w:color w:val="auto"/>
        </w:rPr>
        <w:t>Not applicable.</w:t>
      </w:r>
    </w:p>
    <w:p>
      <w:pPr>
        <w:spacing w:after="0" w:line="4" w:lineRule="exact"/>
        <w:rPr>
          <w:rFonts w:ascii="Arial" w:cs="Arial" w:eastAsia="Arial" w:hAnsi="Arial"/>
          <w:sz w:val="15"/>
          <w:szCs w:val="15"/>
          <w:b w:val="1"/>
          <w:bCs w:val="1"/>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Documents on Display</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corporate internet address is http://ir.weibo.com. We make available free of charge on or through our website our annual reports, quarterly reports, current reports, and amendments to those reports filed or furnished pursuant to Section 13(a) or 15(d) of the Exchange Act as soon as reasonably practicable after we electronically file such material with, or furnish it to, the SEC. We may from time to time provide important disclosures to investors by posting them in the investor relations section of our website, as allowed by the SEC rules. Information contained on Weibo’s website is not part of this report or any other report filed with the SEC. You may read and copy any public reports we filed with the SEC at the SEC’s Public Reference Room at 100 F Street, N.E., Washington, D.C. 20549. You may obtain information on the operation of the Public Reference Room by calling the SEC at 1-800-SEC-0330. The SEC also maintains an internet site http://www.sec.gov that contains reports, proxy and information statements, and other information that we filed electronically.</w:t>
      </w:r>
    </w:p>
    <w:p>
      <w:pPr>
        <w:spacing w:after="0" w:line="167" w:lineRule="exact"/>
        <w:rPr>
          <w:sz w:val="20"/>
          <w:szCs w:val="20"/>
          <w:color w:val="auto"/>
        </w:rPr>
      </w:pPr>
    </w:p>
    <w:p>
      <w:pPr>
        <w:ind w:left="660" w:right="9020" w:hanging="652"/>
        <w:spacing w:after="0" w:line="601" w:lineRule="auto"/>
        <w:tabs>
          <w:tab w:leader="none" w:pos="667"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Subsidiary Information </w:t>
      </w:r>
      <w:r>
        <w:rPr>
          <w:rFonts w:ascii="Arial" w:cs="Arial" w:eastAsia="Arial" w:hAnsi="Arial"/>
          <w:sz w:val="15"/>
          <w:szCs w:val="15"/>
          <w:color w:val="auto"/>
        </w:rPr>
        <w:t>Not applicable.</w:t>
      </w: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value of the RMB against the U.S. dollar and other currencies is affected by changes in China’s political and economic conditions and China’s foreign exchange policies, among other things. On July 21, 2005, the PRC government changed its decades-old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Between June 2010 and September 2016, the RMB has fluctuated against the U.S. dollar, at times significantly and unpredictably. Since October 1, 2016, the RMB has joined the International Monetary Fund (IMF)’s basket of currencies that make up the Special Drawing Right (SDR), along with the U.S. dollar, the Euro, the Japanese yen and the British pound. In the second half of 2017, the RMB has appreciated significantly in the backdrop of a weak U.S. dollar, robust Chinese economy in 2017 and stringent foreign exchange regulation. In 2018, the RMB depreciated approximately by 5% against the U.S. dollar. With the development of the foreign exchange market and progress towards interest rate liberalization and RMB internationalization, the PRC government may in the future announce further changes to the exchange rate system and there is no guarantee that the RMB will not appreciate or depreciate significantly in value against the U.S. dollar in the future. It is difficult to predict how market forces or PRC or U.S. government policy may impact the exchange rate between the RMB and the U.S. dollar in the future. To date, we have not entered into any hedging transactions in an effort to reduce our exposure to foreign currency exchange risk.</w:t>
      </w:r>
    </w:p>
    <w:p>
      <w:pPr>
        <w:spacing w:after="0" w:line="16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revenues and costs are mostly denominated in RMB, and a significant portion of our financial assets are also denominated in RMB, whereas our reporting currency is the U.S. dollar. Any significant depreciation of the RMB may materially and adversely affect our revenues, earnings and financial position as reported in U.S. dollars. To the extent that we need to convert U.S. dollars we received from the issuance of convertible senior notes due 2022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the Value of Chinese RMB Against the</w:t>
            </w:r>
          </w:p>
        </w:tc>
        <w:tc>
          <w:tcPr>
            <w:tcW w:w="2500" w:type="dxa"/>
            <w:vAlign w:val="bottom"/>
          </w:tcPr>
          <w:p>
            <w:pPr>
              <w:jc w:val="center"/>
              <w:ind w:right="479"/>
              <w:spacing w:after="0"/>
              <w:rPr>
                <w:sz w:val="20"/>
                <w:szCs w:val="20"/>
                <w:color w:val="auto"/>
              </w:rPr>
            </w:pPr>
            <w:r>
              <w:rPr>
                <w:rFonts w:ascii="Arial" w:cs="Arial" w:eastAsia="Arial" w:hAnsi="Arial"/>
                <w:sz w:val="14"/>
                <w:szCs w:val="14"/>
                <w:b w:val="1"/>
                <w:bCs w:val="1"/>
                <w:color w:val="auto"/>
                <w:w w:val="92"/>
              </w:rPr>
              <w:t>Translation</w:t>
            </w:r>
          </w:p>
        </w:tc>
        <w:tc>
          <w:tcPr>
            <w:tcW w:w="15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Transaction Gain</w:t>
            </w:r>
          </w:p>
        </w:tc>
        <w:tc>
          <w:tcPr>
            <w:tcW w:w="0" w:type="dxa"/>
            <w:vAlign w:val="bottom"/>
          </w:tcPr>
          <w:p>
            <w:pPr>
              <w:spacing w:after="0"/>
              <w:rPr>
                <w:sz w:val="1"/>
                <w:szCs w:val="1"/>
                <w:color w:val="auto"/>
              </w:rPr>
            </w:pPr>
          </w:p>
        </w:tc>
      </w:tr>
      <w:tr>
        <w:trPr>
          <w:trHeight w:val="149"/>
        </w:trPr>
        <w:tc>
          <w:tcPr>
            <w:tcW w:w="7380" w:type="dxa"/>
            <w:vAlign w:val="bottom"/>
            <w:gridSpan w:val="2"/>
            <w:vMerge w:val="continue"/>
          </w:tcPr>
          <w:p>
            <w:pPr>
              <w:spacing w:after="0"/>
              <w:rPr>
                <w:sz w:val="12"/>
                <w:szCs w:val="12"/>
                <w:color w:val="auto"/>
              </w:rPr>
            </w:pPr>
          </w:p>
        </w:tc>
        <w:tc>
          <w:tcPr>
            <w:tcW w:w="2500" w:type="dxa"/>
            <w:vAlign w:val="bottom"/>
          </w:tcPr>
          <w:p>
            <w:pPr>
              <w:jc w:val="center"/>
              <w:ind w:right="479"/>
              <w:spacing w:after="0" w:line="149" w:lineRule="exact"/>
              <w:rPr>
                <w:sz w:val="20"/>
                <w:szCs w:val="20"/>
                <w:color w:val="auto"/>
              </w:rPr>
            </w:pPr>
            <w:r>
              <w:rPr>
                <w:rFonts w:ascii="Arial" w:cs="Arial" w:eastAsia="Arial" w:hAnsi="Arial"/>
                <w:sz w:val="14"/>
                <w:szCs w:val="14"/>
                <w:b w:val="1"/>
                <w:bCs w:val="1"/>
                <w:color w:val="auto"/>
                <w:w w:val="92"/>
              </w:rPr>
              <w:t>Adjustments to</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U.S. Dollar</w:t>
            </w:r>
          </w:p>
        </w:tc>
        <w:tc>
          <w:tcPr>
            <w:tcW w:w="2500" w:type="dxa"/>
            <w:vAlign w:val="bottom"/>
          </w:tcPr>
          <w:p>
            <w:pPr>
              <w:jc w:val="center"/>
              <w:ind w:right="459"/>
              <w:spacing w:after="0"/>
              <w:rPr>
                <w:sz w:val="20"/>
                <w:szCs w:val="20"/>
                <w:color w:val="auto"/>
              </w:rPr>
            </w:pPr>
            <w:r>
              <w:rPr>
                <w:rFonts w:ascii="Arial" w:cs="Arial" w:eastAsia="Arial" w:hAnsi="Arial"/>
                <w:sz w:val="14"/>
                <w:szCs w:val="14"/>
                <w:b w:val="1"/>
                <w:bCs w:val="1"/>
                <w:color w:val="auto"/>
                <w:w w:val="91"/>
              </w:rPr>
              <w:t>Comprehensive income</w:t>
            </w: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42"/>
        </w:trPr>
        <w:tc>
          <w:tcPr>
            <w:tcW w:w="7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 thousands)</w:t>
            </w: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Appreciate 2%</w:t>
            </w:r>
          </w:p>
        </w:tc>
        <w:tc>
          <w:tcPr>
            <w:tcW w:w="25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31,763</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Appreciate 5%</w:t>
            </w:r>
          </w:p>
        </w:tc>
        <w:tc>
          <w:tcPr>
            <w:tcW w:w="2500" w:type="dxa"/>
            <w:vAlign w:val="bottom"/>
          </w:tcPr>
          <w:p>
            <w:pPr>
              <w:jc w:val="right"/>
              <w:ind w:right="479"/>
              <w:spacing w:after="0"/>
              <w:rPr>
                <w:sz w:val="20"/>
                <w:szCs w:val="20"/>
                <w:color w:val="auto"/>
              </w:rPr>
            </w:pPr>
            <w:r>
              <w:rPr>
                <w:rFonts w:ascii="Arial" w:cs="Arial" w:eastAsia="Arial" w:hAnsi="Arial"/>
                <w:sz w:val="18"/>
                <w:szCs w:val="18"/>
                <w:color w:val="auto"/>
              </w:rPr>
              <w:t>79,624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Depreciate 2%</w:t>
            </w:r>
          </w:p>
        </w:tc>
        <w:tc>
          <w:tcPr>
            <w:tcW w:w="25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(31,644)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Depreciate 5%</w:t>
            </w:r>
          </w:p>
        </w:tc>
        <w:tc>
          <w:tcPr>
            <w:tcW w:w="2500" w:type="dxa"/>
            <w:vAlign w:val="bottom"/>
          </w:tcPr>
          <w:p>
            <w:pPr>
              <w:jc w:val="right"/>
              <w:ind w:right="419"/>
              <w:spacing w:after="0"/>
              <w:rPr>
                <w:sz w:val="20"/>
                <w:szCs w:val="20"/>
                <w:color w:val="auto"/>
              </w:rPr>
            </w:pPr>
            <w:r>
              <w:rPr>
                <w:rFonts w:ascii="Arial" w:cs="Arial" w:eastAsia="Arial" w:hAnsi="Arial"/>
                <w:sz w:val="18"/>
                <w:szCs w:val="18"/>
                <w:color w:val="auto"/>
              </w:rPr>
              <w:t>(78,879)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exposure to interest rate risk primarily relates to the interest income generated by excess cash, which is mostly held in interest-bearing bank deposits. Interest-earning instruments carry a degree of interest rate risk. We have not been exposed to material risks due to changes in interest rates, and we have not used any derivative financial instruments to manage our interest risk exposure. However, our future interest income may fall short of expectations due to changes in market interest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Risk</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of December 31, 2018, our equity investments totaled $694.6 million. We adopted ASU 2016-01, “Classification and Measurement of Financial Instruments,” beginning January 1, 2018. After the adoption of the new accounting update, we measure investments in equity securities other than equity method investments at fair value through earnings. For those investments without readily determinable fair values, we elected to record these investments at cost, less impairment, and plus or minus subsequent adjustments for observable price changes (referred to as the alternative measurement). Changes in the basis of these investments are reported in current earnings. We recognized gain of $42.9 million in upward adjustment for fair value changes on investments for the year ended December 31,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investments other than equity method are subject to a wide variety of market related risks that could substantially reduce or increase the fair value of our holdings. Investments using alternative measurement methods are investments in privately held companies. Valuations of our investments in private companies are inherently more complex due to the lack of readily available market data. The fair value is measured at the time of the observable transaction, which is not necessarily an indication of the current fair value as of the balance sheet date. These investments, especially those in the early stages, are inherently risky because the technologies or products these companies have under development are typically in the early phases and may never materialize and they may experience deterioration in financial condition, which could result in a loss of a substantial part of our investment in these companies. The success of our investment in any private company is also dependent on the likelihood of our ability to realize value in our investments through liquidity events such as public offerings, acquisitions, private sales or other favorable market events reflecting appreciation to the cost of our initial investment. Volatility in the global economic climate and financial markets could also result in a significant impairment charge on our non-marketable equity securities. As of December 31, 2018, the carrying value of our investments using alternative measurement method was $570.6 million.</w:t>
      </w:r>
    </w:p>
    <w:p>
      <w:pPr>
        <w:spacing w:after="0" w:line="16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our equity method investments generally do not fluctuate due to market price changes, however these investments could be impaired if the carrying value exceeds the fair value.</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periodically review our investments for impairment. Factors we consider to make such determination include the duration and severity of the impairment, the reason for the decline in value, the potential recovery period, and our intent to sell, or whether it is more likely than not that we will be required to sell, the investment before recovery. In 2018, we provided $24.1 million of investment related impairment charges. We are unable to control these factors and an impairment charge recognized by us will unfavorably impact our operating results and financial position.</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short-term investments as of December 31, 2018 totaled $591.3 million, which were composed of bank time deposits with maturity over three months but within one year.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29" w:lineRule="exact"/>
        <w:rPr>
          <w:sz w:val="20"/>
          <w:szCs w:val="20"/>
          <w:color w:val="auto"/>
        </w:rPr>
      </w:pPr>
    </w:p>
    <w:p>
      <w:pPr>
        <w:jc w:val="both"/>
        <w:ind w:left="660" w:right="9620" w:hanging="652"/>
        <w:spacing w:after="0" w:line="598" w:lineRule="auto"/>
        <w:tabs>
          <w:tab w:leader="none" w:pos="673"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Debt Securities </w:t>
      </w:r>
      <w:r>
        <w:rPr>
          <w:rFonts w:ascii="Arial" w:cs="Arial" w:eastAsia="Arial" w:hAnsi="Arial"/>
          <w:sz w:val="15"/>
          <w:szCs w:val="15"/>
          <w:color w:val="auto"/>
        </w:rPr>
        <w:t>Not applicable.</w:t>
      </w:r>
    </w:p>
    <w:p>
      <w:pPr>
        <w:spacing w:after="0" w:line="4" w:lineRule="exact"/>
        <w:rPr>
          <w:rFonts w:ascii="Arial" w:cs="Arial" w:eastAsia="Arial" w:hAnsi="Arial"/>
          <w:sz w:val="15"/>
          <w:szCs w:val="15"/>
          <w:b w:val="1"/>
          <w:bCs w:val="1"/>
          <w:color w:val="auto"/>
        </w:rPr>
      </w:pPr>
    </w:p>
    <w:p>
      <w:pPr>
        <w:ind w:left="660" w:right="9220" w:hanging="652"/>
        <w:spacing w:after="0" w:line="598" w:lineRule="auto"/>
        <w:tabs>
          <w:tab w:leader="none" w:pos="663"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Warrants and Rights </w:t>
      </w:r>
      <w:r>
        <w:rPr>
          <w:rFonts w:ascii="Arial" w:cs="Arial" w:eastAsia="Arial" w:hAnsi="Arial"/>
          <w:sz w:val="15"/>
          <w:szCs w:val="15"/>
          <w:color w:val="auto"/>
        </w:rPr>
        <w:t>Not applicable.</w:t>
      </w:r>
    </w:p>
    <w:p>
      <w:pPr>
        <w:spacing w:after="0" w:line="4" w:lineRule="exact"/>
        <w:rPr>
          <w:rFonts w:ascii="Arial" w:cs="Arial" w:eastAsia="Arial" w:hAnsi="Arial"/>
          <w:sz w:val="15"/>
          <w:szCs w:val="15"/>
          <w:b w:val="1"/>
          <w:bCs w:val="1"/>
          <w:color w:val="auto"/>
        </w:rPr>
      </w:pPr>
    </w:p>
    <w:p>
      <w:pPr>
        <w:ind w:left="660" w:right="9540" w:hanging="652"/>
        <w:spacing w:after="0" w:line="598" w:lineRule="auto"/>
        <w:tabs>
          <w:tab w:leader="none" w:pos="673"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Other Securities </w:t>
      </w:r>
      <w:r>
        <w:rPr>
          <w:rFonts w:ascii="Arial" w:cs="Arial" w:eastAsia="Arial" w:hAnsi="Arial"/>
          <w:sz w:val="15"/>
          <w:szCs w:val="15"/>
          <w:color w:val="auto"/>
        </w:rPr>
        <w:t>Not applicable.</w:t>
      </w:r>
    </w:p>
    <w:p>
      <w:pPr>
        <w:spacing w:after="0" w:line="4" w:lineRule="exact"/>
        <w:rPr>
          <w:rFonts w:ascii="Arial" w:cs="Arial" w:eastAsia="Arial" w:hAnsi="Arial"/>
          <w:sz w:val="15"/>
          <w:szCs w:val="15"/>
          <w:b w:val="1"/>
          <w:bCs w:val="1"/>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American Depositary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US$5.00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81" w:lineRule="exact"/>
        <w:rPr>
          <w:sz w:val="20"/>
          <w:szCs w:val="20"/>
          <w:color w:val="auto"/>
        </w:rPr>
      </w:pPr>
    </w:p>
    <w:p>
      <w:pPr>
        <w:ind w:left="940" w:hanging="284"/>
        <w:spacing w:after="0"/>
        <w:tabs>
          <w:tab w:leader="none" w:pos="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fee of US$1.50 per ADR for transfers of certificated or direct registration ADRs;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225" w:lineRule="exact"/>
        <w:rPr>
          <w:rFonts w:ascii="Arial" w:cs="Arial" w:eastAsia="Arial" w:hAnsi="Arial"/>
          <w:sz w:val="18"/>
          <w:szCs w:val="18"/>
          <w:color w:val="auto"/>
        </w:rPr>
      </w:pPr>
    </w:p>
    <w:p>
      <w:pPr>
        <w:ind w:left="980" w:right="100" w:hanging="324"/>
        <w:spacing w:after="0" w:line="312" w:lineRule="auto"/>
        <w:tabs>
          <w:tab w:leader="none" w:pos="94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46" w:lineRule="exact"/>
        <w:rPr>
          <w:rFonts w:ascii="Arial" w:cs="Arial" w:eastAsia="Arial" w:hAnsi="Arial"/>
          <w:sz w:val="16"/>
          <w:szCs w:val="16"/>
          <w:color w:val="auto"/>
        </w:rPr>
      </w:pPr>
    </w:p>
    <w:p>
      <w:pPr>
        <w:ind w:left="980" w:right="40" w:hanging="324"/>
        <w:spacing w:after="0" w:line="291" w:lineRule="auto"/>
        <w:tabs>
          <w:tab w:leader="none" w:pos="94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67" w:lineRule="exact"/>
        <w:rPr>
          <w:rFonts w:ascii="Arial" w:cs="Arial" w:eastAsia="Arial" w:hAnsi="Arial"/>
          <w:sz w:val="16"/>
          <w:szCs w:val="16"/>
          <w:color w:val="auto"/>
        </w:rPr>
      </w:pPr>
    </w:p>
    <w:p>
      <w:pPr>
        <w:ind w:left="940" w:hanging="284"/>
        <w:spacing w:after="0"/>
        <w:tabs>
          <w:tab w:leader="none" w:pos="9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fee for the distribution of securities (or the sale of securities in connection with a distribution), such fee being in an amount equal to the</w:t>
      </w:r>
    </w:p>
    <w:p>
      <w:pPr>
        <w:spacing w:after="0" w:line="35" w:lineRule="exact"/>
        <w:rPr>
          <w:sz w:val="20"/>
          <w:szCs w:val="20"/>
          <w:color w:val="auto"/>
        </w:rPr>
      </w:pPr>
    </w:p>
    <w:p>
      <w:pPr>
        <w:ind w:left="980" w:right="480"/>
        <w:spacing w:after="0" w:line="255" w:lineRule="auto"/>
        <w:rPr>
          <w:sz w:val="20"/>
          <w:szCs w:val="20"/>
          <w:color w:val="auto"/>
        </w:rPr>
      </w:pPr>
      <w:r>
        <w:rPr>
          <w:rFonts w:ascii="Arial" w:cs="Arial" w:eastAsia="Arial" w:hAnsi="Arial"/>
          <w:sz w:val="18"/>
          <w:szCs w:val="18"/>
          <w:color w:val="auto"/>
        </w:rPr>
        <w:t>US$0.05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190" w:lineRule="exact"/>
        <w:rPr>
          <w:sz w:val="20"/>
          <w:szCs w:val="20"/>
          <w:color w:val="auto"/>
        </w:rPr>
      </w:pPr>
    </w:p>
    <w:p>
      <w:pPr>
        <w:ind w:left="940" w:hanging="284"/>
        <w:spacing w:after="0"/>
        <w:tabs>
          <w:tab w:leader="none" w:pos="9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cable, telex and facsimile transmission and delivery charges incurred at your request in connection with the deposit or delivery of shares;</w:t>
      </w:r>
    </w:p>
    <w:p>
      <w:pPr>
        <w:spacing w:after="0" w:line="236" w:lineRule="exact"/>
        <w:rPr>
          <w:rFonts w:ascii="Arial" w:cs="Arial" w:eastAsia="Arial" w:hAnsi="Arial"/>
          <w:sz w:val="17"/>
          <w:szCs w:val="17"/>
          <w:color w:val="auto"/>
        </w:rPr>
      </w:pPr>
    </w:p>
    <w:p>
      <w:pPr>
        <w:ind w:left="980" w:right="380" w:hanging="324"/>
        <w:spacing w:after="0" w:line="277" w:lineRule="auto"/>
        <w:tabs>
          <w:tab w:leader="none" w:pos="9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fees, expenses and other charges charged by JPMorgan Chase Bank, N.A. and/or its agent (which may be a division, branch or affiliate) in connection with the conversion of foreign currency into U.S. dollars; and</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0"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JPMorgan Chase Bank, N.A. and/or its agent may act as principal for such conversion of foreign currency. 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fees and charges you may be required to pay may vary over time and may be changed by us and by the depositary. You will receive prior notice of any increase in any such fees and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depositary has agreed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In 2018, we received reimbursement of $0.5 million from the depository for our expenses incurred in connection with the establishment and maintenance of the ADS program.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Modifications to the Rights of Security Holders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See “Item 10.B. Additional Information—Memorandum and Articles of Association—Ordinary Shares” for a description of the rights of securities holders, which remain unchanged.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following “Use of Proceeds” information relates to (i) the registration statement on Form F-1, as amended (File Number: 333-194589) in relation to our initial public offering of 16,800,000 ADSs representing 16,800,000 of our Class A ordinary shares, and the underwriters’ full exercise of their option to purchase from us an additional 2,520,000 ADSs representing 2,520,000 Class A ordinary shares, at an initial offering price of $17.00 per ADS and</w:t>
      </w:r>
    </w:p>
    <w:p>
      <w:pPr>
        <w:ind w:right="260" w:firstLine="8"/>
        <w:spacing w:after="0" w:line="255" w:lineRule="auto"/>
        <w:tabs>
          <w:tab w:leader="none" w:pos="2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issuance of 2,923,478 Class A ordinary shares to Ali WB in the concurrent private placement, at an exercise price of $14.45 per share, which represents a 15% discount to the initial public offering price. Our initial public offering closed on April 23, 2014. Goldman Sachs (Asia) L.L.C. and Credit Suisse Securities (USA) LLC. were the representatives of the underwriters for our initial public offering.</w:t>
      </w:r>
    </w:p>
    <w:p>
      <w:pPr>
        <w:spacing w:after="0" w:line="19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As a result of our initial public offering and the concurrent private placement, we raised an aggregate of approximately $306.5 million in net proceeds, after deducting the underwriting discounts and commissions. For the period from April 16, 2014, the date that the F-1 Registration Statement was declared effective by the SEC, to the date of this annual report, we used net proceeds from our initial public offering and concurrent private placement to repay the $276.6 million loan amount due to SINA and facilitate the remaining proceeds to our operations.</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principal executive officer and principal financial officer, of the effectiveness of the design and operation of our disclosure controls and procedures (as defined in Exchange Act Rule 13a-15(e)) as of the end of the period covered by this annual report on Form 20-F. Based upon that evaluation, the principal executive officer and principal financial officer concluded that our company’s disclosure controls and procedures are effective.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15(f) under the Securities Exchange Act of 1934, as amended). Our management evaluated the effectiveness of our internal control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criteria established in the framework in Internal Control-Integrated Framework (2013) issued by the Committee of Sponsoring Organizations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Treadway Commission. Based on this evaluation, our management has concluded that our internal control over financial reporting was effective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management has excluded the live streaming business, Yizhibo, from our assessment of internal control over financial reporting as of December 31, 2018 because it was acquired by us in a purchase business combination in 2018. Yizhibo is a division of a consolidated variable interest entity and Yizhibo’s total assets and total revenues excluded from management’s assessment represented 1.1% and 1.6%, respectively, of the related consolidated financial statement amounts as of and for the year ended December 31, 2018.</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PricewaterhouseCoopers Zhong Tian LLP has audited the effectiveness of our internal control over financial reporting as of December 31, 2018 as stated in its report, which appears on page F-2 of this annual report on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Securities Exchange Act of 1934, as amended) during the year ended December 31, 2018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9"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Our board of directors has determined that Mr. Frank Kui Tang, an independent director (under the standards set forth in NASDAQ Listing Rule 5605(a)(2) and Rule 10A-3 under the Exchange Act) and member of our audit committee, is an audit committee financial expert.</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have adopted a Code of Business Conduct and Ethics which applies to our directors, officers and employees, including our principal executive officer, principal financial officer and principal accounting officer. We have posted the code on our corporate website at ir.weibo.com.</w:t>
      </w:r>
    </w:p>
    <w:p>
      <w:pPr>
        <w:spacing w:after="0" w:line="14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the aggregate fees billed by PricewaterhouseCoopers Zhong Tian LLP and its affiliates, our independent auditor and principal accountant for the years ended December 31, 2017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832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1,550,722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1,660,345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line="216" w:lineRule="exact"/>
              <w:rPr>
                <w:sz w:val="20"/>
                <w:szCs w:val="20"/>
                <w:color w:val="auto"/>
              </w:rPr>
            </w:pPr>
            <w:r>
              <w:rPr>
                <w:rFonts w:ascii="Arial" w:cs="Arial" w:eastAsia="Arial" w:hAnsi="Arial"/>
                <w:sz w:val="18"/>
                <w:szCs w:val="18"/>
                <w:color w:val="auto"/>
              </w:rPr>
              <w:t>Audit Related Fees</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740,166</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129,195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40" w:hanging="332"/>
        <w:spacing w:after="0" w:line="291" w:lineRule="auto"/>
        <w:tabs>
          <w:tab w:leader="none" w:pos="34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“Audit fees” means the aggregate fees billed in each of the fiscal years listed for professional services rendered by our principal auditors for the audit of our annual financial statements and assistance with and review of documents filed with the SEC. In 2017 and 2018, the audit refers to financial audit.</w:t>
      </w:r>
    </w:p>
    <w:p>
      <w:pPr>
        <w:ind w:left="340" w:right="80" w:hanging="332"/>
        <w:spacing w:after="0" w:line="261" w:lineRule="auto"/>
        <w:tabs>
          <w:tab w:leader="none" w:pos="3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“Audit-related fees” primarily consists of fees related to the issuance of comfort letter in our offering of convertible notes in 2017 and other audit-related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policy of the Audit Committee is to pre-approve all audit and non-audit services provided by PricewaterhouseCoopers Zhong Tian LLP, including audit services, audit-related services, tax services and other services as described above, other than those for de minimis services which are approved by the audit committee prior to the completion of the audit. After receiving submissions from the management, the audit committee review and, in its sole discretion, pre-approve all audit and non-audit services. Pre-approval will be made by the audit committee or by one or more members of the audit committee as shall be designated by the audit committee or the chairperson of the audit committee. The person(s) granting such pre-approval shall report it to the audit committee at the next scheduled meeting.</w:t>
      </w:r>
    </w:p>
    <w:p>
      <w:pPr>
        <w:spacing w:after="0" w:line="18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Because SINA owns more than 50% of the total voting power of our ordinary shares, we are a “controlled company” under the NASDAQ Stock Market Marketplace Rules, or the NASDAQ Rules. We intend to rely on certain exemptions that are available to controlled companies from NASDAQ corporate governance requirements, including the requirements:</w:t>
      </w:r>
    </w:p>
    <w:p>
      <w:pPr>
        <w:spacing w:after="0" w:line="181" w:lineRule="exact"/>
        <w:rPr>
          <w:sz w:val="20"/>
          <w:szCs w:val="20"/>
          <w:color w:val="auto"/>
        </w:rPr>
      </w:pPr>
    </w:p>
    <w:p>
      <w:pPr>
        <w:ind w:left="940" w:hanging="284"/>
        <w:spacing w:after="0"/>
        <w:tabs>
          <w:tab w:leader="none" w:pos="9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our director nominees must be selected or recommended solely by independent directors; and</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4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we have a corporate governance and nominating committee that is composed entirely of independent directors with a written charter addressing the committee’s purpose and responsibilities.</w:t>
      </w:r>
    </w:p>
    <w:p>
      <w:pPr>
        <w:spacing w:after="0" w:line="170"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 addition, as a foreign private issuer whose securities are listed on the NASDAQ Global Select Market, we are permitted to follow certain home country corporate governance practices in lieu of the requirements of the NASDAQ Rules pursuant to NASDAQ Rule 5615(a)(3), which provides for such exemption to compliance with the NASDAQ Rule 5600 Series. We intend to rely on the exemption available to foreign private issuers for the requirements:</w:t>
      </w:r>
    </w:p>
    <w:p>
      <w:pPr>
        <w:spacing w:after="0" w:line="147" w:lineRule="exact"/>
        <w:rPr>
          <w:sz w:val="20"/>
          <w:szCs w:val="20"/>
          <w:color w:val="auto"/>
        </w:rPr>
      </w:pPr>
    </w:p>
    <w:p>
      <w:pPr>
        <w:ind w:left="940" w:hanging="284"/>
        <w:spacing w:after="0"/>
        <w:tabs>
          <w:tab w:leader="none" w:pos="9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that the board of directors be comprised of a majority of independent directors under NASDAQ Rule 5605(b)(1);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that an audit committee be comprised of at least three members under NASDAQ Rule 5605(c)(2)(A).</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We are not required to and will not voluntarily meet these requirements. As a result of our use of the “controlled company” and “foreign private issuer” exemptions, our investors will not have the same protection afforded to shareholders of companies that are subject to all of NASDAQ’s corporate governance requirements.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of Weibo Corporation and its subsidiaries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10600" w:type="dxa"/>
            <w:vAlign w:val="bottom"/>
            <w:gridSpan w:val="22"/>
          </w:tcPr>
          <w:p>
            <w:pPr>
              <w:ind w:left="160"/>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gridSpan w:val="16"/>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160" w:type="dxa"/>
            <w:vAlign w:val="bottom"/>
            <w:tcBorders>
              <w:bottom w:val="single" w:sz="8" w:color="auto"/>
            </w:tcBorders>
            <w:gridSpan w:val="1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Borders>
              <w:bottom w:val="single" w:sz="8" w:color="0000EE"/>
            </w:tcBorders>
            <w:gridSpan w:val="14"/>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Second Amended and Restated Memorandum and Articles of Association of the Company (Filed as Exhibit 3.2 to the Company’s</w:t>
              </w:r>
            </w:hyperlink>
          </w:p>
        </w:tc>
        <w:tc>
          <w:tcPr>
            <w:tcW w:w="2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Registration Statement on Form F-1, Registration No. 333-194589, filed on March 14, 2014, as amended, and incorporated herein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reference).</w:t>
              </w:r>
            </w:hyperlink>
          </w:p>
        </w:tc>
        <w:tc>
          <w:tcPr>
            <w:tcW w:w="8800" w:type="dxa"/>
            <w:vAlign w:val="bottom"/>
            <w:gridSpan w:val="1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tcBorders>
              <w:bottom w:val="single" w:sz="8" w:color="0000EE"/>
            </w:tcBorders>
            <w:gridSpan w:val="11"/>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The Company’s Specimen American Depositary Receipt (included in Exhibit 2.3 hereto, which was filed as Exhibit 4.3 to the</w:t>
              </w:r>
            </w:hyperlink>
          </w:p>
        </w:tc>
        <w:tc>
          <w:tcPr>
            <w:tcW w:w="54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Company’s Report on Form S-8, Registration No. 333-199022, filed on September 30, 2014, and incorporated herein by reference).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00" w:type="dxa"/>
            <w:vAlign w:val="bottom"/>
            <w:tcBorders>
              <w:bottom w:val="single" w:sz="8" w:color="0000EE"/>
            </w:tcBorders>
            <w:gridSpan w:val="17"/>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The Company’s Specimen Certificate for ordinary shares (Filed as Exhibit 4.2 to the Company’s Registration Statement on Form F-</w:t>
              </w:r>
            </w:hyperlink>
          </w:p>
        </w:tc>
        <w:tc>
          <w:tcPr>
            <w:tcW w:w="1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1, Registration No. 333-194589, filed on March 14, 2014, as amended, and incorporated herein by reference).</w:t>
              </w:r>
            </w:hyperlink>
          </w:p>
        </w:tc>
        <w:tc>
          <w:tcPr>
            <w:tcW w:w="170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80" w:type="dxa"/>
            <w:vAlign w:val="bottom"/>
            <w:tcBorders>
              <w:bottom w:val="single" w:sz="8" w:color="0000EE"/>
            </w:tcBorders>
            <w:gridSpan w:val="19"/>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Deposit Agreement, dated as of April 16, 2014, among the Company, the depositary and holder of the American Depositary Receipts</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(Filed as Exhibit 4.3 to the Company’s Report on Form S-8, Registration No. 333-199022, filed on September 30, 2014, and</w:t>
              </w:r>
            </w:hyperlink>
          </w:p>
        </w:tc>
        <w:tc>
          <w:tcPr>
            <w:tcW w:w="640" w:type="dxa"/>
            <w:vAlign w:val="bottom"/>
            <w:gridSpan w:val="1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incorporated herein by reference).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60" w:type="dxa"/>
            <w:vAlign w:val="bottom"/>
            <w:tcBorders>
              <w:bottom w:val="single" w:sz="8" w:color="0000EE"/>
            </w:tcBorders>
            <w:gridSpan w:val="18"/>
          </w:tcPr>
          <w:p>
            <w:pPr>
              <w:spacing w:after="0"/>
              <w:rPr>
                <w:rFonts w:ascii="Arial" w:cs="Arial" w:eastAsia="Arial" w:hAnsi="Arial"/>
                <w:sz w:val="18"/>
                <w:szCs w:val="18"/>
                <w:color w:val="0000EE"/>
                <w:w w:val="89"/>
              </w:rPr>
            </w:pPr>
            <w:hyperlink r:id="rId175">
              <w:r>
                <w:rPr>
                  <w:rFonts w:ascii="Arial" w:cs="Arial" w:eastAsia="Arial" w:hAnsi="Arial"/>
                  <w:sz w:val="18"/>
                  <w:szCs w:val="18"/>
                  <w:color w:val="0000EE"/>
                  <w:w w:val="89"/>
                </w:rPr>
                <w:t>Indenture, dated as of October 30, 2017, between Weibo Corporation and Deutsche Bank Trust Company Americas, as trustee (Filed</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as Exhibit 2.4 to the Company’s annual report on Form 20-F, Registration No. 001-36397, filed on April 26, 2018, and incorporated</w:t>
              </w:r>
            </w:hyperlink>
          </w:p>
        </w:tc>
        <w:tc>
          <w:tcPr>
            <w:tcW w:w="1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herein by reference).</w:t>
              </w:r>
            </w:hyperlink>
          </w:p>
        </w:tc>
        <w:tc>
          <w:tcPr>
            <w:tcW w:w="810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tcBorders>
              <w:bottom w:val="single" w:sz="8" w:color="0000EE"/>
            </w:tcBorders>
            <w:gridSpan w:val="13"/>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2010 Share Incentive Plan (Filed as Exhibit 10.1 to the Company’s Registration Statement on Form F-1, Registration No. 333-</w:t>
              </w:r>
            </w:hyperlink>
          </w:p>
        </w:tc>
        <w:tc>
          <w:tcPr>
            <w:tcW w:w="48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194589, filed on March 14, 2014, as amended, and incorporated herein by reference).</w:t>
              </w:r>
            </w:hyperlink>
          </w:p>
        </w:tc>
        <w:tc>
          <w:tcPr>
            <w:tcW w:w="3440" w:type="dxa"/>
            <w:vAlign w:val="bottom"/>
            <w:gridSpan w:val="1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tcBorders>
              <w:bottom w:val="single" w:sz="8" w:color="0000EE"/>
            </w:tcBorders>
            <w:gridSpan w:val="13"/>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2014 Share Incentive Plan (Filed as Exhibit 10.2 to the Company’s Registration Statement on Form F-1, Registration No. 333-</w:t>
              </w:r>
            </w:hyperlink>
          </w:p>
        </w:tc>
        <w:tc>
          <w:tcPr>
            <w:tcW w:w="48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194589, filed on March 14, 2014, as amended, and incorporated herein by reference).</w:t>
              </w:r>
            </w:hyperlink>
          </w:p>
        </w:tc>
        <w:tc>
          <w:tcPr>
            <w:tcW w:w="3440" w:type="dxa"/>
            <w:vAlign w:val="bottom"/>
            <w:gridSpan w:val="1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Form of Indemnification Agreement with the Company’s directors (Filed as Exhibit 10.3 to the Company’s Registration Statement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on Form F-1, Registration No. 333-194589, filed on March 14, 2014, as amended, and incorporated herein by reference).</w:t>
              </w:r>
            </w:hyperlink>
          </w:p>
        </w:tc>
        <w:tc>
          <w:tcPr>
            <w:tcW w:w="680" w:type="dxa"/>
            <w:vAlign w:val="bottom"/>
            <w:tcBorders>
              <w:top w:val="single" w:sz="8" w:color="0000EE"/>
            </w:tcBorders>
            <w:gridSpan w:val="8"/>
          </w:tcPr>
          <w:p>
            <w:pPr>
              <w:spacing w:after="0"/>
              <w:rPr>
                <w:sz w:val="17"/>
                <w:szCs w:val="17"/>
                <w:color w:val="auto"/>
              </w:rPr>
            </w:pPr>
          </w:p>
        </w:tc>
        <w:tc>
          <w:tcPr>
            <w:tcW w:w="20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tcBorders>
              <w:bottom w:val="single" w:sz="8" w:color="0000EE"/>
            </w:tcBorders>
            <w:gridSpan w:val="12"/>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Form of Employment Agreement between the Company and an executive officer of the Company (Filed as Exhibit 10.4 to the</w:t>
              </w:r>
            </w:hyperlink>
          </w:p>
        </w:tc>
        <w:tc>
          <w:tcPr>
            <w:tcW w:w="50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7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Company’s Registration Statement on Form F-1, Registration No. 333-194589, filed on March 14, 2014, as amended, and</w:t>
              </w:r>
            </w:hyperlink>
          </w:p>
        </w:tc>
        <w:tc>
          <w:tcPr>
            <w:tcW w:w="82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incorporated herein by reference).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8"/>
              </w:rPr>
            </w:pPr>
            <w:hyperlink r:id="rId180">
              <w:r>
                <w:rPr>
                  <w:rFonts w:ascii="Arial" w:cs="Arial" w:eastAsia="Arial" w:hAnsi="Arial"/>
                  <w:sz w:val="18"/>
                  <w:szCs w:val="18"/>
                  <w:color w:val="0000EE"/>
                  <w:w w:val="98"/>
                </w:rPr>
                <w:t>Master Transaction Agreement between Sina Corporation and Weibo Corporation (Filed as Exhibit 10.5 to the Company’s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20" w:type="dxa"/>
            <w:vAlign w:val="bottom"/>
            <w:gridSpan w:val="8"/>
            <w:shd w:val="clear" w:color="auto" w:fill="0000EE"/>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Registration Statement on Form F-1, Registration No. 333-194589, filed on March 14, 2014, as amended, and incorporated herein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80">
              <w:r>
                <w:rPr>
                  <w:rFonts w:ascii="Arial" w:cs="Arial" w:eastAsia="Arial" w:hAnsi="Arial"/>
                  <w:sz w:val="18"/>
                  <w:szCs w:val="18"/>
                  <w:color w:val="0000EE"/>
                  <w:w w:val="87"/>
                </w:rPr>
                <w:t>reference).</w:t>
              </w:r>
            </w:hyperlink>
          </w:p>
        </w:tc>
        <w:tc>
          <w:tcPr>
            <w:tcW w:w="8820" w:type="dxa"/>
            <w:vAlign w:val="bottom"/>
            <w:gridSpan w:val="1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7160" w:type="dxa"/>
            <w:vAlign w:val="bottom"/>
            <w:gridSpan w:val="7"/>
          </w:tcPr>
          <w:p>
            <w:pPr>
              <w:jc w:val="right"/>
              <w:ind w:right="2068"/>
              <w:spacing w:after="0"/>
              <w:rPr>
                <w:sz w:val="20"/>
                <w:szCs w:val="20"/>
                <w:color w:val="auto"/>
              </w:rPr>
            </w:pPr>
            <w:r>
              <w:rPr>
                <w:rFonts w:ascii="Arial" w:cs="Arial" w:eastAsia="Arial" w:hAnsi="Arial"/>
                <w:sz w:val="18"/>
                <w:szCs w:val="18"/>
                <w:color w:val="auto"/>
              </w:rPr>
              <w:t>135</w:t>
            </w: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00" w:type="dxa"/>
            <w:vAlign w:val="bottom"/>
            <w:gridSpan w:val="20"/>
            <w:vMerge w:val="restart"/>
          </w:tcPr>
          <w:p>
            <w:pPr>
              <w:ind w:left="9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00" w:type="dxa"/>
            <w:vAlign w:val="bottom"/>
            <w:gridSpan w:val="20"/>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894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Transitional Services Agreement between Sina Corporation and Weibo Corporation (Filed as Exhibit 10.6 to the Company’s</w:t>
              </w:r>
            </w:hyperlink>
          </w:p>
        </w:tc>
        <w:tc>
          <w:tcPr>
            <w:tcW w:w="660" w:type="dxa"/>
            <w:vAlign w:val="bottom"/>
            <w:tcBorders>
              <w:top w:val="single" w:sz="8" w:color="auto"/>
            </w:tcBorders>
            <w:gridSpan w:val="1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Registration Statement on Form F-1, Registration No. 333-194589, filed on March 14, 2014, as amended, and incorporated herein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83">
              <w:r>
                <w:rPr>
                  <w:rFonts w:ascii="Arial" w:cs="Arial" w:eastAsia="Arial" w:hAnsi="Arial"/>
                  <w:sz w:val="18"/>
                  <w:szCs w:val="18"/>
                  <w:color w:val="0000EE"/>
                  <w:w w:val="87"/>
                </w:rPr>
                <w:t>reference).</w:t>
              </w:r>
            </w:hyperlink>
          </w:p>
        </w:tc>
        <w:tc>
          <w:tcPr>
            <w:tcW w:w="8820" w:type="dxa"/>
            <w:vAlign w:val="bottom"/>
            <w:gridSpan w:val="2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rPr>
            </w:pPr>
            <w:hyperlink r:id="rId184">
              <w:r>
                <w:rPr>
                  <w:rFonts w:ascii="Arial" w:cs="Arial" w:eastAsia="Arial" w:hAnsi="Arial"/>
                  <w:sz w:val="18"/>
                  <w:szCs w:val="18"/>
                  <w:color w:val="0000EE"/>
                </w:rPr>
                <w:t>Non-Competition Agreement between Sina Corporation and Weibo Corporation (Filed as Exhibit 10.7 to the Company’s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Registration Statement on Form F-1, Registration No. 333-194589, filed on March 14, 2014, as amended, and incorporated herein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84">
              <w:r>
                <w:rPr>
                  <w:rFonts w:ascii="Arial" w:cs="Arial" w:eastAsia="Arial" w:hAnsi="Arial"/>
                  <w:sz w:val="18"/>
                  <w:szCs w:val="18"/>
                  <w:color w:val="0000EE"/>
                  <w:w w:val="87"/>
                </w:rPr>
                <w:t>reference).</w:t>
              </w:r>
            </w:hyperlink>
          </w:p>
        </w:tc>
        <w:tc>
          <w:tcPr>
            <w:tcW w:w="8820" w:type="dxa"/>
            <w:vAlign w:val="bottom"/>
            <w:gridSpan w:val="2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9560" w:type="dxa"/>
            <w:vAlign w:val="bottom"/>
            <w:tcBorders>
              <w:bottom w:val="single" w:sz="8" w:color="0000EE"/>
            </w:tcBorders>
            <w:gridSpan w:val="23"/>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Sales and Marketing Services Agreement between Sina Corporation and Weibo Corporation (Filed as Exhibit 10.8 to the Company’s</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Registration Statement on Form F-1, Registration No. 333-194589, filed on March 14, 2014, as amended, and incorporated herein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85">
              <w:r>
                <w:rPr>
                  <w:rFonts w:ascii="Arial" w:cs="Arial" w:eastAsia="Arial" w:hAnsi="Arial"/>
                  <w:sz w:val="18"/>
                  <w:szCs w:val="18"/>
                  <w:color w:val="0000EE"/>
                  <w:w w:val="87"/>
                </w:rPr>
                <w:t>reference).</w:t>
              </w:r>
            </w:hyperlink>
          </w:p>
        </w:tc>
        <w:tc>
          <w:tcPr>
            <w:tcW w:w="8820" w:type="dxa"/>
            <w:vAlign w:val="bottom"/>
            <w:gridSpan w:val="2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9500" w:type="dxa"/>
            <w:vAlign w:val="bottom"/>
            <w:tcBorders>
              <w:bottom w:val="single" w:sz="8" w:color="0000EE"/>
            </w:tcBorders>
            <w:gridSpan w:val="21"/>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Intellectual Property License Agreement between Sina Corporation and Weibo Corporation (Filed as Exhibit 10.9 to the Company’s</w:t>
              </w:r>
            </w:hyperlink>
          </w:p>
        </w:tc>
        <w:tc>
          <w:tcPr>
            <w:tcW w:w="1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Registration Statement on Form F-1, Registration No. 333-194589, filed on March 14, 2014, as amended, and incorporated herein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86">
              <w:r>
                <w:rPr>
                  <w:rFonts w:ascii="Arial" w:cs="Arial" w:eastAsia="Arial" w:hAnsi="Arial"/>
                  <w:sz w:val="18"/>
                  <w:szCs w:val="18"/>
                  <w:color w:val="0000EE"/>
                  <w:w w:val="87"/>
                </w:rPr>
                <w:t>reference).</w:t>
              </w:r>
            </w:hyperlink>
          </w:p>
        </w:tc>
        <w:tc>
          <w:tcPr>
            <w:tcW w:w="8820" w:type="dxa"/>
            <w:vAlign w:val="bottom"/>
            <w:gridSpan w:val="2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w w:val="95"/>
              </w:rPr>
            </w:pPr>
            <w:hyperlink r:id="rId187">
              <w:r>
                <w:rPr>
                  <w:rFonts w:ascii="Arial" w:cs="Arial" w:eastAsia="Arial" w:hAnsi="Arial"/>
                  <w:sz w:val="18"/>
                  <w:szCs w:val="18"/>
                  <w:color w:val="0000EE"/>
                  <w:w w:val="95"/>
                </w:rPr>
                <w:t>English translation of the Business Cooperation Agreement between Weibo Internet Technology (China) Co., Ltd. and Alibaba</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5"/>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(China) Co., Ltd. (Filed as Exhibit 10.10 to the Company’s Registration Statement on Form F-1, Registration No. 333-194589, filed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on March 14, 2014, as amended, and incorporated herein by reference).</w:t>
              </w:r>
            </w:hyperlink>
          </w:p>
        </w:tc>
        <w:tc>
          <w:tcPr>
            <w:tcW w:w="1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w w:val="96"/>
              </w:rPr>
            </w:pPr>
            <w:hyperlink r:id="rId188">
              <w:r>
                <w:rPr>
                  <w:rFonts w:ascii="Arial" w:cs="Arial" w:eastAsia="Arial" w:hAnsi="Arial"/>
                  <w:sz w:val="18"/>
                  <w:szCs w:val="18"/>
                  <w:color w:val="0000EE"/>
                  <w:w w:val="96"/>
                </w:rPr>
                <w:t>Amended and Restated Shareholders’ Agreement between Sina Corporation, Ali WB Investment Holding Limited and Weibo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Corporation (Filed as Exhibit 10.11 to the Company’s Registration Statement on Form F-1, Registration No. 333-194589, filed on</w:t>
              </w:r>
            </w:hyperlink>
          </w:p>
        </w:tc>
        <w:tc>
          <w:tcPr>
            <w:tcW w:w="24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5"/>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March 14, 2014, as amended, and incorporated herein by reference).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w w:val="93"/>
              </w:rPr>
            </w:pPr>
            <w:hyperlink r:id="rId189">
              <w:r>
                <w:rPr>
                  <w:rFonts w:ascii="Arial" w:cs="Arial" w:eastAsia="Arial" w:hAnsi="Arial"/>
                  <w:sz w:val="18"/>
                  <w:szCs w:val="18"/>
                  <w:color w:val="0000EE"/>
                  <w:w w:val="93"/>
                </w:rPr>
                <w:t>Voting Agreement between Sina Corporation and Ali WB Investment Holding Limited dated April 24, 2014 (incorporated herein by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reference to Exhibit 4.12 to the Company’s annual report on Form 20-F (File No. 001-36397), filed with the Securities and Exchange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Commission on April 28, 2015).</w:t>
              </w:r>
            </w:hyperlink>
          </w:p>
        </w:tc>
        <w:tc>
          <w:tcPr>
            <w:tcW w:w="7260" w:type="dxa"/>
            <w:vAlign w:val="bottom"/>
            <w:gridSpan w:val="2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4"/>
                <w:szCs w:val="24"/>
                <w:color w:val="auto"/>
              </w:rPr>
            </w:pPr>
          </w:p>
        </w:tc>
        <w:tc>
          <w:tcPr>
            <w:tcW w:w="9320" w:type="dxa"/>
            <w:vAlign w:val="bottom"/>
            <w:tcBorders>
              <w:bottom w:val="single" w:sz="8" w:color="0000EE"/>
            </w:tcBorders>
            <w:gridSpan w:val="17"/>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Registration Rights Agreement between Sina Corporation, Ali WB Investment Holding Limited and Weibo Corporation (Filed as</w:t>
              </w:r>
            </w:hyperlink>
          </w:p>
        </w:tc>
        <w:tc>
          <w:tcPr>
            <w:tcW w:w="28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5"/>
          </w:tcPr>
          <w:p>
            <w:pPr>
              <w:spacing w:after="0" w:line="196" w:lineRule="exact"/>
              <w:rPr>
                <w:rFonts w:ascii="Arial" w:cs="Arial" w:eastAsia="Arial" w:hAnsi="Arial"/>
                <w:sz w:val="18"/>
                <w:szCs w:val="18"/>
                <w:color w:val="0000EE"/>
                <w:w w:val="94"/>
              </w:rPr>
            </w:pPr>
            <w:hyperlink r:id="rId190">
              <w:r>
                <w:rPr>
                  <w:rFonts w:ascii="Arial" w:cs="Arial" w:eastAsia="Arial" w:hAnsi="Arial"/>
                  <w:sz w:val="18"/>
                  <w:szCs w:val="18"/>
                  <w:color w:val="0000EE"/>
                  <w:w w:val="94"/>
                </w:rPr>
                <w:t>Exhibit 10.13 to the Company’s Registration Statement on Form F-1, Registration No. 333-194589, filed on March 14, 2014, as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amended, and incorporated herein by reference).</w:t>
              </w:r>
            </w:hyperlink>
          </w:p>
        </w:tc>
        <w:tc>
          <w:tcPr>
            <w:tcW w:w="5700" w:type="dxa"/>
            <w:vAlign w:val="bottom"/>
            <w:tcBorders>
              <w:top w:val="single" w:sz="8" w:color="0000EE"/>
            </w:tcBorders>
            <w:gridSpan w:val="11"/>
          </w:tcPr>
          <w:p>
            <w:pPr>
              <w:spacing w:after="0"/>
              <w:rPr>
                <w:sz w:val="17"/>
                <w:szCs w:val="17"/>
                <w:color w:val="auto"/>
              </w:rPr>
            </w:pPr>
          </w:p>
        </w:tc>
        <w:tc>
          <w:tcPr>
            <w:tcW w:w="40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English Translation of the Loan Agreement between our wholly owned subsidiary and individual shareholders of Weimeng. (Filed as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Exhibit 4.14 to the Company’s annual report on Form 20-F, Registration No. 001-36397, filed on April 26 and incorporated herein</w:t>
              </w:r>
            </w:hyperlink>
          </w:p>
        </w:tc>
        <w:tc>
          <w:tcPr>
            <w:tcW w:w="1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91">
              <w:r>
                <w:rPr>
                  <w:rFonts w:ascii="Arial" w:cs="Arial" w:eastAsia="Arial" w:hAnsi="Arial"/>
                  <w:sz w:val="18"/>
                  <w:szCs w:val="18"/>
                  <w:color w:val="0000EE"/>
                  <w:w w:val="88"/>
                </w:rPr>
                <w:t>by reference).</w:t>
              </w:r>
            </w:hyperlink>
          </w:p>
        </w:tc>
        <w:tc>
          <w:tcPr>
            <w:tcW w:w="8600" w:type="dxa"/>
            <w:vAlign w:val="bottom"/>
            <w:gridSpan w:val="2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w w:val="97"/>
              </w:rPr>
            </w:pPr>
            <w:hyperlink r:id="rId192">
              <w:r>
                <w:rPr>
                  <w:rFonts w:ascii="Arial" w:cs="Arial" w:eastAsia="Arial" w:hAnsi="Arial"/>
                  <w:sz w:val="18"/>
                  <w:szCs w:val="18"/>
                  <w:color w:val="0000EE"/>
                  <w:w w:val="97"/>
                </w:rPr>
                <w:t>English Translation of the Loan Repayment Agreement between our wholly owned subsidiary and individual shareholders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5"/>
          </w:tcPr>
          <w:p>
            <w:pPr>
              <w:spacing w:after="0" w:line="196" w:lineRule="exact"/>
              <w:rPr>
                <w:rFonts w:ascii="Arial" w:cs="Arial" w:eastAsia="Arial" w:hAnsi="Arial"/>
                <w:sz w:val="18"/>
                <w:szCs w:val="18"/>
                <w:color w:val="0000EE"/>
                <w:w w:val="93"/>
              </w:rPr>
            </w:pPr>
            <w:hyperlink r:id="rId192">
              <w:r>
                <w:rPr>
                  <w:rFonts w:ascii="Arial" w:cs="Arial" w:eastAsia="Arial" w:hAnsi="Arial"/>
                  <w:sz w:val="18"/>
                  <w:szCs w:val="18"/>
                  <w:color w:val="0000EE"/>
                  <w:w w:val="93"/>
                </w:rPr>
                <w:t>Weimeng. (Filed as Exhibit 4.15 to the Company’s annual report on Form 20-F, Registration No. 001-36397, filed on April 26 and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incorporated herein by reference).</w:t>
              </w:r>
            </w:hyperlink>
          </w:p>
        </w:tc>
        <w:tc>
          <w:tcPr>
            <w:tcW w:w="22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w w:val="98"/>
              </w:rPr>
            </w:pPr>
            <w:hyperlink r:id="rId193">
              <w:r>
                <w:rPr>
                  <w:rFonts w:ascii="Arial" w:cs="Arial" w:eastAsia="Arial" w:hAnsi="Arial"/>
                  <w:sz w:val="18"/>
                  <w:szCs w:val="18"/>
                  <w:color w:val="0000EE"/>
                  <w:w w:val="98"/>
                </w:rPr>
                <w:t>English Translation of the Share Transfer Agreement between our wholly owned subsidiary and individual shareholders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00" w:type="dxa"/>
            <w:vAlign w:val="bottom"/>
            <w:gridSpan w:val="8"/>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5"/>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Weimeng. (Filed as Exhibit 4.16 to the Company’s annual report on Form 20-F, Registration No. 001-36397, filed on April 26 and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incorporated herein by reference).</w:t>
              </w:r>
            </w:hyperlink>
          </w:p>
        </w:tc>
        <w:tc>
          <w:tcPr>
            <w:tcW w:w="22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4"/>
                <w:szCs w:val="24"/>
                <w:color w:val="auto"/>
              </w:rPr>
            </w:pPr>
          </w:p>
        </w:tc>
        <w:tc>
          <w:tcPr>
            <w:tcW w:w="8900" w:type="dxa"/>
            <w:vAlign w:val="bottom"/>
            <w:tcBorders>
              <w:bottom w:val="single" w:sz="8" w:color="0000EE"/>
            </w:tcBorders>
            <w:gridSpan w:val="12"/>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English Translation of the Agreement on Authorization to Exercise Shareholder’s Voting Power between our wholly owned</w:t>
              </w:r>
            </w:hyperlink>
          </w:p>
        </w:tc>
        <w:tc>
          <w:tcPr>
            <w:tcW w:w="70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7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subsidiary and individual shareholders of Weimeng. (Filed as Exhibit 4.17 to the Company’s annual report on Form 20-F,</w:t>
              </w:r>
            </w:hyperlink>
          </w:p>
        </w:tc>
        <w:tc>
          <w:tcPr>
            <w:tcW w:w="860" w:type="dxa"/>
            <w:vAlign w:val="bottom"/>
            <w:gridSpan w:val="1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25"/>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Registration No. 001-36397, filed on April 26 and incorporated herein by reference).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20" w:type="dxa"/>
            <w:vAlign w:val="bottom"/>
            <w:tcBorders>
              <w:top w:val="single" w:sz="8" w:color="0000EE"/>
            </w:tcBorders>
            <w:gridSpan w:val="6"/>
          </w:tcPr>
          <w:p>
            <w:pPr>
              <w:ind w:left="3760"/>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00" w:type="dxa"/>
            <w:vAlign w:val="bottom"/>
            <w:gridSpan w:val="11"/>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0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4"/>
                <w:szCs w:val="24"/>
                <w:color w:val="auto"/>
              </w:rPr>
            </w:pPr>
          </w:p>
        </w:tc>
        <w:tc>
          <w:tcPr>
            <w:tcW w:w="9600" w:type="dxa"/>
            <w:vAlign w:val="bottom"/>
            <w:tcBorders>
              <w:top w:val="single" w:sz="8" w:color="auto"/>
            </w:tcBorders>
            <w:gridSpan w:val="18"/>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English Translation of the Share Pledge Agreement between our wholly owned subsidiary and individual shareholders of Weimeng.</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18"/>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(Filed as Exhibit 4.18 to the Company’s annual report on Form 20-F, Registration No. 001-36397, filed on April 26 and incorporated</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herein by reference).</w:t>
              </w:r>
            </w:hyperlink>
          </w:p>
        </w:tc>
        <w:tc>
          <w:tcPr>
            <w:tcW w:w="8060" w:type="dxa"/>
            <w:vAlign w:val="bottom"/>
            <w:tcBorders>
              <w:top w:val="single" w:sz="8" w:color="0000EE"/>
            </w:tcBorders>
            <w:gridSpan w:val="1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24"/>
                <w:szCs w:val="24"/>
                <w:color w:val="auto"/>
              </w:rPr>
            </w:pPr>
          </w:p>
        </w:tc>
        <w:tc>
          <w:tcPr>
            <w:tcW w:w="9360" w:type="dxa"/>
            <w:vAlign w:val="bottom"/>
            <w:tcBorders>
              <w:bottom w:val="single" w:sz="8" w:color="0000EE"/>
            </w:tcBorders>
            <w:gridSpan w:val="15"/>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English Translation of the Exclusive Technical Services Agreement between our wholly owned subsidiary and Weimeng (Filed as</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18"/>
          </w:tcPr>
          <w:p>
            <w:pPr>
              <w:spacing w:after="0" w:line="196" w:lineRule="exact"/>
              <w:rPr>
                <w:rFonts w:ascii="Arial" w:cs="Arial" w:eastAsia="Arial" w:hAnsi="Arial"/>
                <w:sz w:val="18"/>
                <w:szCs w:val="18"/>
                <w:color w:val="0000EE"/>
                <w:w w:val="94"/>
              </w:rPr>
            </w:pPr>
            <w:hyperlink r:id="rId198">
              <w:r>
                <w:rPr>
                  <w:rFonts w:ascii="Arial" w:cs="Arial" w:eastAsia="Arial" w:hAnsi="Arial"/>
                  <w:sz w:val="18"/>
                  <w:szCs w:val="18"/>
                  <w:color w:val="0000EE"/>
                  <w:w w:val="94"/>
                </w:rPr>
                <w:t>Exhibit 10.19 to the Company’s Registration Statement on Form F-1, Registration No. 333-194589, filed on March 14, 2014, as</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amended, and incorporated herein by reference).</w:t>
              </w:r>
            </w:hyperlink>
          </w:p>
        </w:tc>
        <w:tc>
          <w:tcPr>
            <w:tcW w:w="5680" w:type="dxa"/>
            <w:vAlign w:val="bottom"/>
            <w:tcBorders>
              <w:top w:val="single" w:sz="8" w:color="0000EE"/>
            </w:tcBorders>
            <w:gridSpan w:val="9"/>
          </w:tcPr>
          <w:p>
            <w:pPr>
              <w:spacing w:after="0"/>
              <w:rPr>
                <w:sz w:val="17"/>
                <w:szCs w:val="17"/>
                <w:color w:val="auto"/>
              </w:rPr>
            </w:pPr>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w w:val="97"/>
              </w:rPr>
            </w:pPr>
            <w:hyperlink r:id="rId199">
              <w:r>
                <w:rPr>
                  <w:rFonts w:ascii="Arial" w:cs="Arial" w:eastAsia="Arial" w:hAnsi="Arial"/>
                  <w:sz w:val="18"/>
                  <w:szCs w:val="18"/>
                  <w:color w:val="0000EE"/>
                  <w:w w:val="97"/>
                </w:rPr>
                <w:t>English Translation of the Exclusive Sales Agency Agreement between our wholly owned subsidiary and Weimeng (Filed as</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18"/>
          </w:tcPr>
          <w:p>
            <w:pPr>
              <w:spacing w:after="0" w:line="196" w:lineRule="exact"/>
              <w:rPr>
                <w:rFonts w:ascii="Arial" w:cs="Arial" w:eastAsia="Arial" w:hAnsi="Arial"/>
                <w:sz w:val="18"/>
                <w:szCs w:val="18"/>
                <w:color w:val="0000EE"/>
                <w:w w:val="94"/>
              </w:rPr>
            </w:pPr>
            <w:hyperlink r:id="rId199">
              <w:r>
                <w:rPr>
                  <w:rFonts w:ascii="Arial" w:cs="Arial" w:eastAsia="Arial" w:hAnsi="Arial"/>
                  <w:sz w:val="18"/>
                  <w:szCs w:val="18"/>
                  <w:color w:val="0000EE"/>
                  <w:w w:val="94"/>
                </w:rPr>
                <w:t>Exhibit 10.20 to the Company’s Registration Statement on Form F-1, Registration No. 333-194589, filed on March 14, 2014, as</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amended, and incorporated herein by reference).</w:t>
              </w:r>
            </w:hyperlink>
          </w:p>
        </w:tc>
        <w:tc>
          <w:tcPr>
            <w:tcW w:w="5680" w:type="dxa"/>
            <w:vAlign w:val="bottom"/>
            <w:tcBorders>
              <w:top w:val="single" w:sz="8" w:color="0000EE"/>
            </w:tcBorders>
            <w:gridSpan w:val="9"/>
          </w:tcPr>
          <w:p>
            <w:pPr>
              <w:spacing w:after="0"/>
              <w:rPr>
                <w:sz w:val="17"/>
                <w:szCs w:val="17"/>
                <w:color w:val="auto"/>
              </w:rPr>
            </w:pPr>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4"/>
                <w:szCs w:val="24"/>
                <w:color w:val="auto"/>
              </w:rPr>
            </w:pPr>
          </w:p>
        </w:tc>
        <w:tc>
          <w:tcPr>
            <w:tcW w:w="8640" w:type="dxa"/>
            <w:vAlign w:val="bottom"/>
            <w:tcBorders>
              <w:bottom w:val="single" w:sz="8" w:color="0000EE"/>
            </w:tcBorders>
            <w:gridSpan w:val="11"/>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English Translation of the Trademark License Agreement between our wholly owned subsidiary and Weimeng (Filed as</w:t>
              </w:r>
            </w:hyperlink>
          </w:p>
        </w:tc>
        <w:tc>
          <w:tcPr>
            <w:tcW w:w="9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18"/>
          </w:tcPr>
          <w:p>
            <w:pPr>
              <w:spacing w:after="0" w:line="196" w:lineRule="exact"/>
              <w:rPr>
                <w:rFonts w:ascii="Arial" w:cs="Arial" w:eastAsia="Arial" w:hAnsi="Arial"/>
                <w:sz w:val="18"/>
                <w:szCs w:val="18"/>
                <w:color w:val="0000EE"/>
                <w:w w:val="94"/>
              </w:rPr>
            </w:pPr>
            <w:hyperlink r:id="rId200">
              <w:r>
                <w:rPr>
                  <w:rFonts w:ascii="Arial" w:cs="Arial" w:eastAsia="Arial" w:hAnsi="Arial"/>
                  <w:sz w:val="18"/>
                  <w:szCs w:val="18"/>
                  <w:color w:val="0000EE"/>
                  <w:w w:val="94"/>
                </w:rPr>
                <w:t>Exhibit 10.21 to the Company’s Registration Statement on Form F-1, Registration No. 333-194589, filed on March 14, 2014, as</w:t>
              </w:r>
            </w:hyperlink>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amended, and incorporated herein by reference).</w:t>
              </w:r>
            </w:hyperlink>
          </w:p>
        </w:tc>
        <w:tc>
          <w:tcPr>
            <w:tcW w:w="5700" w:type="dxa"/>
            <w:vAlign w:val="bottom"/>
            <w:tcBorders>
              <w:top w:val="single" w:sz="8" w:color="0000EE"/>
            </w:tcBorders>
            <w:gridSpan w:val="10"/>
          </w:tcPr>
          <w:p>
            <w:pPr>
              <w:spacing w:after="0"/>
              <w:rPr>
                <w:sz w:val="17"/>
                <w:szCs w:val="17"/>
                <w:color w:val="auto"/>
              </w:rPr>
            </w:pPr>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r:id="rId201">
              <w:r>
                <w:rPr>
                  <w:rFonts w:ascii="Arial" w:cs="Arial" w:eastAsia="Arial" w:hAnsi="Arial"/>
                  <w:sz w:val="18"/>
                  <w:szCs w:val="18"/>
                  <w:color w:val="0000EE"/>
                </w:rPr>
                <w:t>List of Subsidiaries.</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4"/>
                <w:szCs w:val="24"/>
                <w:color w:val="auto"/>
              </w:rPr>
            </w:pPr>
          </w:p>
        </w:tc>
        <w:tc>
          <w:tcPr>
            <w:tcW w:w="9020" w:type="dxa"/>
            <w:vAlign w:val="bottom"/>
            <w:tcBorders>
              <w:bottom w:val="single" w:sz="8" w:color="0000EE"/>
            </w:tcBorders>
            <w:gridSpan w:val="13"/>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Code of Business Conduct and Ethics (incorporated by reference to Exhibit 99.1 to the Company’s Registration Statement on</w:t>
              </w:r>
            </w:hyperlink>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18"/>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Form F-1, File No. 333-194589, filed on March 14, 2014, as amended and incorporated herein by reference).</w:t>
              </w:r>
            </w:hyperlink>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7840" w:type="dxa"/>
            <w:vAlign w:val="bottom"/>
            <w:tcBorders>
              <w:top w:val="single" w:sz="8" w:color="0000EE"/>
            </w:tcBorders>
            <w:gridSpan w:val="10"/>
          </w:tcPr>
          <w:p>
            <w:pPr>
              <w:spacing w:after="0"/>
              <w:rPr>
                <w:rFonts w:ascii="Arial" w:cs="Arial" w:eastAsia="Arial" w:hAnsi="Arial"/>
                <w:sz w:val="18"/>
                <w:szCs w:val="18"/>
                <w:color w:val="0000EE"/>
              </w:rPr>
            </w:pPr>
            <w:hyperlink r:id="rId203">
              <w:r>
                <w:rPr>
                  <w:rFonts w:ascii="Arial" w:cs="Arial" w:eastAsia="Arial" w:hAnsi="Arial"/>
                  <w:sz w:val="18"/>
                  <w:szCs w:val="18"/>
                  <w:color w:val="0000EE"/>
                </w:rPr>
                <w:t>Certificate of chief executive officer pursuant to Section 302 of the Sarbanes-Oxley Act of 2002.</w:t>
              </w:r>
            </w:hyperlink>
          </w:p>
        </w:tc>
        <w:tc>
          <w:tcPr>
            <w:tcW w:w="17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r:id="rId204">
              <w:r>
                <w:rPr>
                  <w:rFonts w:ascii="Arial" w:cs="Arial" w:eastAsia="Arial" w:hAnsi="Arial"/>
                  <w:sz w:val="18"/>
                  <w:szCs w:val="18"/>
                  <w:color w:val="0000EE"/>
                </w:rPr>
                <w:t>Certificate of principal financial officer pursuant to Section 302 of the Sarbanes-Oxley Act of 2002.</w:t>
              </w:r>
            </w:hyperlink>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24"/>
                <w:szCs w:val="24"/>
                <w:color w:val="auto"/>
              </w:rPr>
            </w:pPr>
          </w:p>
        </w:tc>
        <w:tc>
          <w:tcPr>
            <w:tcW w:w="7180" w:type="dxa"/>
            <w:vAlign w:val="bottom"/>
            <w:tcBorders>
              <w:top w:val="single" w:sz="8" w:color="0000EE"/>
            </w:tcBorders>
            <w:gridSpan w:val="9"/>
          </w:tcPr>
          <w:p>
            <w:pPr>
              <w:spacing w:after="0"/>
              <w:rPr>
                <w:rFonts w:ascii="Arial" w:cs="Arial" w:eastAsia="Arial" w:hAnsi="Arial"/>
                <w:sz w:val="18"/>
                <w:szCs w:val="18"/>
                <w:color w:val="0000EE"/>
                <w:w w:val="94"/>
              </w:rPr>
            </w:pPr>
            <w:hyperlink r:id="rId205">
              <w:r>
                <w:rPr>
                  <w:rFonts w:ascii="Arial" w:cs="Arial" w:eastAsia="Arial" w:hAnsi="Arial"/>
                  <w:sz w:val="18"/>
                  <w:szCs w:val="18"/>
                  <w:color w:val="0000EE"/>
                  <w:w w:val="94"/>
                </w:rPr>
                <w:t>Certificate of chief executive officer pursuant to Section 906 of the Sarbanes-Oxley Act of 2002.</w:t>
              </w:r>
            </w:hyperlink>
          </w:p>
        </w:tc>
        <w:tc>
          <w:tcPr>
            <w:tcW w:w="2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r:id="rId206">
              <w:r>
                <w:rPr>
                  <w:rFonts w:ascii="Arial" w:cs="Arial" w:eastAsia="Arial" w:hAnsi="Arial"/>
                  <w:sz w:val="18"/>
                  <w:szCs w:val="18"/>
                  <w:color w:val="0000EE"/>
                </w:rPr>
                <w:t>Certificate of principal financial officer pursuant to Section 906 of the Sarbanes-Oxley Act of 2002.</w:t>
              </w:r>
            </w:hyperlink>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4"/>
                <w:szCs w:val="24"/>
                <w:color w:val="auto"/>
              </w:rPr>
            </w:pPr>
          </w:p>
        </w:tc>
        <w:tc>
          <w:tcPr>
            <w:tcW w:w="7180" w:type="dxa"/>
            <w:vAlign w:val="bottom"/>
            <w:tcBorders>
              <w:top w:val="single" w:sz="8" w:color="0000EE"/>
            </w:tcBorders>
            <w:gridSpan w:val="9"/>
          </w:tcPr>
          <w:p>
            <w:pPr>
              <w:spacing w:after="0"/>
              <w:rPr>
                <w:rFonts w:ascii="Arial" w:cs="Arial" w:eastAsia="Arial" w:hAnsi="Arial"/>
                <w:sz w:val="18"/>
                <w:szCs w:val="18"/>
                <w:color w:val="0000EE"/>
              </w:rPr>
            </w:pPr>
            <w:hyperlink r:id="rId207">
              <w:r>
                <w:rPr>
                  <w:rFonts w:ascii="Arial" w:cs="Arial" w:eastAsia="Arial" w:hAnsi="Arial"/>
                  <w:sz w:val="18"/>
                  <w:szCs w:val="18"/>
                  <w:color w:val="0000EE"/>
                </w:rPr>
                <w:t>Consent of Maples and Calder (Hong Kong) LLP.</w:t>
              </w:r>
            </w:hyperlink>
          </w:p>
        </w:tc>
        <w:tc>
          <w:tcPr>
            <w:tcW w:w="2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r:id="rId208">
              <w:r>
                <w:rPr>
                  <w:rFonts w:ascii="Arial" w:cs="Arial" w:eastAsia="Arial" w:hAnsi="Arial"/>
                  <w:sz w:val="18"/>
                  <w:szCs w:val="18"/>
                  <w:color w:val="0000EE"/>
                  <w:w w:val="90"/>
                </w:rPr>
                <w:t>Consent of TransAsia Lawyers.</w:t>
              </w:r>
            </w:hyperlink>
          </w:p>
        </w:tc>
        <w:tc>
          <w:tcPr>
            <w:tcW w:w="1300" w:type="dxa"/>
            <w:vAlign w:val="bottom"/>
            <w:tcBorders>
              <w:top w:val="single" w:sz="8" w:color="0000EE"/>
            </w:tcBorders>
            <w:gridSpan w:val="3"/>
          </w:tcPr>
          <w:p>
            <w:pPr>
              <w:spacing w:after="0"/>
              <w:rPr>
                <w:sz w:val="24"/>
                <w:szCs w:val="24"/>
                <w:color w:val="auto"/>
              </w:rPr>
            </w:pPr>
          </w:p>
        </w:tc>
        <w:tc>
          <w:tcPr>
            <w:tcW w:w="60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540" w:type="dxa"/>
            <w:vAlign w:val="bottom"/>
          </w:tcPr>
          <w:p>
            <w:pPr>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24"/>
                <w:szCs w:val="24"/>
                <w:color w:val="auto"/>
              </w:rPr>
            </w:pPr>
          </w:p>
        </w:tc>
        <w:tc>
          <w:tcPr>
            <w:tcW w:w="3900" w:type="dxa"/>
            <w:vAlign w:val="bottom"/>
            <w:tcBorders>
              <w:bottom w:val="single" w:sz="8" w:color="0000EE"/>
            </w:tcBorders>
            <w:gridSpan w:val="7"/>
          </w:tcPr>
          <w:p>
            <w:pPr>
              <w:spacing w:after="0"/>
              <w:rPr>
                <w:rFonts w:ascii="Arial" w:cs="Arial" w:eastAsia="Arial" w:hAnsi="Arial"/>
                <w:sz w:val="18"/>
                <w:szCs w:val="18"/>
                <w:color w:val="0000EE"/>
                <w:w w:val="89"/>
              </w:rPr>
            </w:pPr>
            <w:hyperlink r:id="rId209">
              <w:r>
                <w:rPr>
                  <w:rFonts w:ascii="Arial" w:cs="Arial" w:eastAsia="Arial" w:hAnsi="Arial"/>
                  <w:sz w:val="18"/>
                  <w:szCs w:val="18"/>
                  <w:color w:val="0000EE"/>
                  <w:w w:val="89"/>
                </w:rPr>
                <w:t>Consent of PricewaterhouseCoopers Zhong Tian LLP.</w:t>
              </w:r>
            </w:hyperlink>
          </w:p>
        </w:tc>
        <w:tc>
          <w:tcPr>
            <w:tcW w:w="5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60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60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60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60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600" w:type="dxa"/>
            <w:vAlign w:val="bottom"/>
            <w:gridSpan w:val="18"/>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60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387"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Weibo Corporation</w:t>
            </w:r>
          </w:p>
        </w:tc>
      </w:tr>
      <w:tr>
        <w:trPr>
          <w:trHeight w:val="648"/>
        </w:trPr>
        <w:tc>
          <w:tcPr>
            <w:tcW w:w="6200" w:type="dxa"/>
            <w:vAlign w:val="bottom"/>
            <w:gridSpan w:val="3"/>
          </w:tcPr>
          <w:p>
            <w:pPr>
              <w:spacing w:after="0"/>
              <w:rPr>
                <w:sz w:val="20"/>
                <w:szCs w:val="20"/>
                <w:color w:val="auto"/>
              </w:rPr>
            </w:pPr>
            <w:r>
              <w:rPr>
                <w:rFonts w:ascii="Arial" w:cs="Arial" w:eastAsia="Arial" w:hAnsi="Arial"/>
                <w:sz w:val="18"/>
                <w:szCs w:val="18"/>
                <w:color w:val="auto"/>
              </w:rPr>
              <w:t>By:   /s/ Gaofei Wang</w:t>
            </w:r>
          </w:p>
        </w:tc>
      </w:tr>
      <w:tr>
        <w:trPr>
          <w:trHeight w:val="195"/>
        </w:trPr>
        <w:tc>
          <w:tcPr>
            <w:tcW w:w="50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Gaofei Wang</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85"/>
        </w:trPr>
        <w:tc>
          <w:tcPr>
            <w:tcW w:w="4900" w:type="dxa"/>
            <w:vAlign w:val="bottom"/>
            <w:gridSpan w:val="7"/>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Report of Independent Registered Public Accounting Firm</w:t>
              </w:r>
            </w:hyperlink>
          </w:p>
        </w:tc>
        <w:tc>
          <w:tcPr>
            <w:tcW w:w="572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96"/>
              </w:rPr>
              <w:t>F-2</w:t>
            </w:r>
          </w:p>
        </w:tc>
      </w:tr>
      <w:tr>
        <w:trPr>
          <w:trHeight w:val="412"/>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4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6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96"/>
              </w:rPr>
              <w:t>F-3</w:t>
            </w:r>
          </w:p>
        </w:tc>
      </w:tr>
      <w:tr>
        <w:trPr>
          <w:trHeight w:val="412"/>
        </w:trPr>
        <w:tc>
          <w:tcPr>
            <w:tcW w:w="4900" w:type="dxa"/>
            <w:vAlign w:val="bottom"/>
            <w:gridSpan w:val="7"/>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Consolidated Statements of Comprehensive Income</w:t>
              </w:r>
            </w:hyperlink>
          </w:p>
        </w:tc>
        <w:tc>
          <w:tcPr>
            <w:tcW w:w="572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96"/>
              </w:rPr>
              <w:t>F-5</w:t>
            </w:r>
          </w:p>
        </w:tc>
      </w:tr>
      <w:tr>
        <w:trPr>
          <w:trHeight w:val="412"/>
        </w:trPr>
        <w:tc>
          <w:tcPr>
            <w:tcW w:w="3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47">
              <w:r>
                <w:rPr>
                  <w:rFonts w:ascii="Arial" w:cs="Arial" w:eastAsia="Arial" w:hAnsi="Arial"/>
                  <w:sz w:val="18"/>
                  <w:szCs w:val="18"/>
                  <w:color w:val="0000EE"/>
                  <w:w w:val="90"/>
                </w:rPr>
                <w:t>Consolidated Statements of Shareholders’ Equity</w:t>
              </w:r>
            </w:hyperlink>
          </w:p>
        </w:tc>
        <w:tc>
          <w:tcPr>
            <w:tcW w:w="180" w:type="dxa"/>
            <w:vAlign w:val="bottom"/>
            <w:tcBorders>
              <w:top w:val="single" w:sz="8" w:color="0000EE"/>
            </w:tcBorders>
          </w:tcPr>
          <w:p>
            <w:pPr>
              <w:spacing w:after="0"/>
              <w:rPr>
                <w:sz w:val="24"/>
                <w:szCs w:val="24"/>
                <w:color w:val="auto"/>
              </w:rPr>
            </w:pPr>
          </w:p>
        </w:tc>
        <w:tc>
          <w:tcPr>
            <w:tcW w:w="1160" w:type="dxa"/>
            <w:vAlign w:val="bottom"/>
            <w:gridSpan w:val="2"/>
          </w:tcPr>
          <w:p>
            <w:pPr>
              <w:spacing w:after="0"/>
              <w:rPr>
                <w:sz w:val="24"/>
                <w:szCs w:val="24"/>
                <w:color w:val="auto"/>
              </w:rPr>
            </w:pPr>
          </w:p>
        </w:tc>
        <w:tc>
          <w:tcPr>
            <w:tcW w:w="572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96"/>
              </w:rPr>
              <w:t>F-6</w:t>
            </w:r>
          </w:p>
        </w:tc>
      </w:tr>
      <w:tr>
        <w:trPr>
          <w:trHeight w:val="412"/>
        </w:trPr>
        <w:tc>
          <w:tcPr>
            <w:tcW w:w="28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Consolidated Statements of Cash Flows</w:t>
              </w:r>
            </w:hyperlink>
          </w:p>
        </w:tc>
        <w:tc>
          <w:tcPr>
            <w:tcW w:w="2020" w:type="dxa"/>
            <w:vAlign w:val="bottom"/>
            <w:gridSpan w:val="5"/>
          </w:tcPr>
          <w:p>
            <w:pPr>
              <w:spacing w:after="0"/>
              <w:rPr>
                <w:sz w:val="24"/>
                <w:szCs w:val="24"/>
                <w:color w:val="auto"/>
              </w:rPr>
            </w:pPr>
          </w:p>
        </w:tc>
        <w:tc>
          <w:tcPr>
            <w:tcW w:w="572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96"/>
              </w:rPr>
              <w:t>F-7</w:t>
            </w:r>
          </w:p>
        </w:tc>
      </w:tr>
      <w:tr>
        <w:trPr>
          <w:trHeight w:val="412"/>
        </w:trPr>
        <w:tc>
          <w:tcPr>
            <w:tcW w:w="4900" w:type="dxa"/>
            <w:vAlign w:val="bottom"/>
            <w:gridSpan w:val="7"/>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Notes to Consolidated Financial Statements</w:t>
              </w:r>
            </w:hyperlink>
          </w:p>
        </w:tc>
        <w:tc>
          <w:tcPr>
            <w:tcW w:w="572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96"/>
              </w:rPr>
              <w:t>F-8</w:t>
            </w:r>
          </w:p>
        </w:tc>
      </w:tr>
      <w:tr>
        <w:trPr>
          <w:trHeight w:val="453"/>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60" w:type="dxa"/>
            <w:vAlign w:val="bottom"/>
            <w:gridSpan w:val="3"/>
          </w:tcPr>
          <w:p>
            <w:pPr>
              <w:ind w:left="680"/>
              <w:spacing w:after="0"/>
              <w:rPr>
                <w:sz w:val="20"/>
                <w:szCs w:val="20"/>
                <w:color w:val="auto"/>
              </w:rPr>
            </w:pPr>
            <w:r>
              <w:rPr>
                <w:rFonts w:ascii="Arial" w:cs="Arial" w:eastAsia="Arial" w:hAnsi="Arial"/>
                <w:sz w:val="18"/>
                <w:szCs w:val="18"/>
                <w:color w:val="auto"/>
              </w:rPr>
              <w:t>F-1</w:t>
            </w:r>
          </w:p>
        </w:tc>
      </w:tr>
      <w:tr>
        <w:trPr>
          <w:trHeight w:val="132"/>
        </w:trPr>
        <w:tc>
          <w:tcPr>
            <w:tcW w:w="2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7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460" w:firstLine="3453"/>
        <w:spacing w:after="0" w:line="40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Weibo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4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Weibo Corporation and its subsidiaries (the “Company”) as of December 31, 2018 and 2017, and the related consolidated statements of comprehensive income, of shareholders’ equity and of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revenues from contracts with customers and the manner in which it accounts for investments in equity securities in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its live streaming business (“Yizhibo”) from its assessment of internal control over financial reporting as of December 31, 2018 because it was acquired by the Company in a purchase business combination during 2018. We have also excluded Yizhibo from our audit of internal control over financial reporting. Yizhibo is a division of a consolidated variable interest entity and Yizhibo’s total assets and total revenues excluded from management’s assessment and our audit of internal control over financial reporting represent 1.1% and 1.6%, respectively, of the related consolidated financial statement amounts as of and for the year ended December 31,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86"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for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4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1,000,953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1,234,596</w:t>
            </w:r>
          </w:p>
        </w:tc>
        <w:tc>
          <w:tcPr>
            <w:tcW w:w="40" w:type="dxa"/>
            <w:vAlign w:val="bottom"/>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791,730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591,269</w:t>
            </w:r>
          </w:p>
        </w:tc>
        <w:tc>
          <w:tcPr>
            <w:tcW w:w="40" w:type="dxa"/>
            <w:vAlign w:val="bottom"/>
          </w:tcPr>
          <w:p>
            <w:pPr>
              <w:spacing w:after="0"/>
              <w:rPr>
                <w:sz w:val="18"/>
                <w:szCs w:val="18"/>
                <w:color w:val="auto"/>
              </w:rPr>
            </w:pPr>
          </w:p>
        </w:tc>
      </w:tr>
      <w:tr>
        <w:trPr>
          <w:trHeight w:val="202"/>
        </w:trPr>
        <w:tc>
          <w:tcPr>
            <w:tcW w:w="8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Accounts receivable due from third parties, net of allowances for doubtful accounts of $8,114 and $11,799 as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December 31, 2017 and 2018, respectively</w:t>
            </w: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97,572</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190,036</w:t>
            </w:r>
          </w:p>
        </w:tc>
        <w:tc>
          <w:tcPr>
            <w:tcW w:w="40" w:type="dxa"/>
            <w:vAlign w:val="bottom"/>
          </w:tcPr>
          <w:p>
            <w:pPr>
              <w:spacing w:after="0"/>
              <w:rPr>
                <w:sz w:val="20"/>
                <w:szCs w:val="20"/>
                <w:color w:val="auto"/>
              </w:rPr>
            </w:pPr>
          </w:p>
        </w:tc>
      </w:tr>
      <w:tr>
        <w:trPr>
          <w:trHeight w:val="202"/>
        </w:trPr>
        <w:tc>
          <w:tcPr>
            <w:tcW w:w="8460" w:type="dxa"/>
            <w:vAlign w:val="bottom"/>
          </w:tcPr>
          <w:p>
            <w:pPr>
              <w:ind w:left="180"/>
              <w:spacing w:after="0" w:line="201" w:lineRule="exact"/>
              <w:rPr>
                <w:sz w:val="20"/>
                <w:szCs w:val="20"/>
                <w:color w:val="auto"/>
              </w:rPr>
            </w:pPr>
            <w:r>
              <w:rPr>
                <w:rFonts w:ascii="Arial" w:cs="Arial" w:eastAsia="Arial" w:hAnsi="Arial"/>
                <w:sz w:val="18"/>
                <w:szCs w:val="18"/>
                <w:color w:val="auto"/>
              </w:rPr>
              <w:t>Accounts receivable due from Alibaba, net of allowances for doubtful accounts of nil and nil as of</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December 31, 2017 and 2018, respectively (Note 9)</w:t>
            </w:r>
          </w:p>
        </w:tc>
        <w:tc>
          <w:tcPr>
            <w:tcW w:w="3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42,832</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48,222</w:t>
            </w:r>
          </w:p>
        </w:tc>
        <w:tc>
          <w:tcPr>
            <w:tcW w:w="40" w:type="dxa"/>
            <w:vAlign w:val="bottom"/>
          </w:tcPr>
          <w:p>
            <w:pPr>
              <w:spacing w:after="0"/>
              <w:rPr>
                <w:sz w:val="20"/>
                <w:szCs w:val="20"/>
                <w:color w:val="auto"/>
              </w:rPr>
            </w:pPr>
          </w:p>
        </w:tc>
      </w:tr>
      <w:tr>
        <w:trPr>
          <w:trHeight w:val="202"/>
        </w:trPr>
        <w:tc>
          <w:tcPr>
            <w:tcW w:w="8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Accounts receivable due from other related parties, net of allowances for doubtful accounts of nil and $630 as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December 31, 2017 and 2018, respectively (Note 9)</w:t>
            </w: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29,696</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130,835</w:t>
            </w:r>
          </w:p>
        </w:tc>
        <w:tc>
          <w:tcPr>
            <w:tcW w:w="40" w:type="dxa"/>
            <w:vAlign w:val="bottom"/>
          </w:tcPr>
          <w:p>
            <w:pPr>
              <w:spacing w:after="0"/>
              <w:rPr>
                <w:sz w:val="20"/>
                <w:szCs w:val="20"/>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69,233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168,821</w:t>
            </w:r>
          </w:p>
        </w:tc>
        <w:tc>
          <w:tcPr>
            <w:tcW w:w="4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due from SINA (Note 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105,319</w:t>
            </w:r>
          </w:p>
        </w:tc>
        <w:tc>
          <w:tcPr>
            <w:tcW w:w="40" w:type="dxa"/>
            <w:vAlign w:val="bottom"/>
          </w:tcPr>
          <w:p>
            <w:pPr>
              <w:spacing w:after="0"/>
              <w:rPr>
                <w:sz w:val="18"/>
                <w:szCs w:val="18"/>
                <w:color w:val="auto"/>
              </w:rPr>
            </w:pPr>
          </w:p>
        </w:tc>
      </w:tr>
      <w:tr>
        <w:trPr>
          <w:trHeight w:val="210"/>
        </w:trPr>
        <w:tc>
          <w:tcPr>
            <w:tcW w:w="84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2,048,372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2,469,098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33,793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45,623</w:t>
            </w:r>
          </w:p>
        </w:tc>
        <w:tc>
          <w:tcPr>
            <w:tcW w:w="4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21,103</w:t>
            </w:r>
          </w:p>
        </w:tc>
        <w:tc>
          <w:tcPr>
            <w:tcW w:w="4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29,346</w:t>
            </w:r>
          </w:p>
        </w:tc>
        <w:tc>
          <w:tcPr>
            <w:tcW w:w="4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452,337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694,586</w:t>
            </w:r>
          </w:p>
        </w:tc>
        <w:tc>
          <w:tcPr>
            <w:tcW w:w="4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13,380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14,926</w:t>
            </w:r>
          </w:p>
        </w:tc>
        <w:tc>
          <w:tcPr>
            <w:tcW w:w="40" w:type="dxa"/>
            <w:vAlign w:val="bottom"/>
          </w:tcPr>
          <w:p>
            <w:pPr>
              <w:spacing w:after="0"/>
              <w:rPr>
                <w:sz w:val="18"/>
                <w:szCs w:val="18"/>
                <w:color w:val="auto"/>
              </w:rPr>
            </w:pPr>
          </w:p>
        </w:tc>
      </w:tr>
      <w:tr>
        <w:trPr>
          <w:trHeight w:val="250"/>
        </w:trPr>
        <w:tc>
          <w:tcPr>
            <w:tcW w:w="8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2,561,819</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3,274,682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84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02"/>
        </w:trPr>
        <w:tc>
          <w:tcPr>
            <w:tcW w:w="8460" w:type="dxa"/>
            <w:vAlign w:val="bottom"/>
          </w:tcPr>
          <w:p>
            <w:pPr>
              <w:spacing w:after="0" w:line="201" w:lineRule="exact"/>
              <w:rPr>
                <w:sz w:val="20"/>
                <w:szCs w:val="20"/>
                <w:color w:val="auto"/>
              </w:rPr>
            </w:pPr>
            <w:r>
              <w:rPr>
                <w:rFonts w:ascii="Arial" w:cs="Arial" w:eastAsia="Arial" w:hAnsi="Arial"/>
                <w:sz w:val="18"/>
                <w:szCs w:val="18"/>
                <w:color w:val="auto"/>
                <w:w w:val="97"/>
              </w:rPr>
              <w:t>Current liabilities (including amounts of the consolidated VIEs without recourse to the primary beneficiaries of</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$217,602 and $347,770 as of December 31, 2017 and 2018, respectively.)</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64,043</w:t>
            </w:r>
          </w:p>
        </w:tc>
        <w:tc>
          <w:tcPr>
            <w:tcW w:w="6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123,730</w:t>
            </w:r>
          </w:p>
        </w:tc>
        <w:tc>
          <w:tcPr>
            <w:tcW w:w="40" w:type="dxa"/>
            <w:vAlign w:val="bottom"/>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268,615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317,437</w:t>
            </w:r>
          </w:p>
        </w:tc>
        <w:tc>
          <w:tcPr>
            <w:tcW w:w="4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70,907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88,683</w:t>
            </w:r>
          </w:p>
        </w:tc>
        <w:tc>
          <w:tcPr>
            <w:tcW w:w="40" w:type="dxa"/>
            <w:vAlign w:val="bottom"/>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81,311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99,994</w:t>
            </w:r>
          </w:p>
        </w:tc>
        <w:tc>
          <w:tcPr>
            <w:tcW w:w="40" w:type="dxa"/>
            <w:vAlign w:val="bottom"/>
          </w:tcPr>
          <w:p>
            <w:pPr>
              <w:spacing w:after="0"/>
              <w:rPr>
                <w:sz w:val="18"/>
                <w:szCs w:val="18"/>
                <w:color w:val="auto"/>
              </w:rPr>
            </w:pPr>
          </w:p>
        </w:tc>
      </w:tr>
      <w:tr>
        <w:trPr>
          <w:trHeight w:val="210"/>
        </w:trPr>
        <w:tc>
          <w:tcPr>
            <w:tcW w:w="8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484,876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629,844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8460" w:type="dxa"/>
            <w:vAlign w:val="bottom"/>
          </w:tcPr>
          <w:p>
            <w:pPr>
              <w:spacing w:after="0" w:line="196" w:lineRule="exact"/>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884,123</w:t>
            </w:r>
          </w:p>
        </w:tc>
        <w:tc>
          <w:tcPr>
            <w:tcW w:w="40" w:type="dxa"/>
            <w:vAlign w:val="bottom"/>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Long-term deferred revenues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12,577</w:t>
            </w:r>
          </w:p>
        </w:tc>
        <w:tc>
          <w:tcPr>
            <w:tcW w:w="40" w:type="dxa"/>
            <w:vAlign w:val="bottom"/>
          </w:tcPr>
          <w:p>
            <w:pPr>
              <w:spacing w:after="0"/>
              <w:rPr>
                <w:sz w:val="18"/>
                <w:szCs w:val="18"/>
                <w:color w:val="auto"/>
              </w:rPr>
            </w:pPr>
          </w:p>
        </w:tc>
      </w:tr>
      <w:tr>
        <w:trPr>
          <w:trHeight w:val="210"/>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882,149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896,700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1,526,544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8460" w:type="dxa"/>
            <w:vAlign w:val="bottom"/>
          </w:tcPr>
          <w:p>
            <w:pPr>
              <w:ind w:left="5580"/>
              <w:spacing w:after="0"/>
              <w:rPr>
                <w:sz w:val="20"/>
                <w:szCs w:val="20"/>
                <w:color w:val="auto"/>
              </w:rPr>
            </w:pPr>
            <w:r>
              <w:rPr>
                <w:rFonts w:ascii="Arial" w:cs="Arial" w:eastAsia="Arial" w:hAnsi="Arial"/>
                <w:sz w:val="18"/>
                <w:szCs w:val="18"/>
                <w:color w:val="auto"/>
              </w:rPr>
              <w:t>F-3</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4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340"/>
              <w:spacing w:after="0" w:line="201" w:lineRule="exact"/>
              <w:rPr>
                <w:sz w:val="20"/>
                <w:szCs w:val="20"/>
                <w:color w:val="auto"/>
              </w:rPr>
            </w:pPr>
            <w:r>
              <w:rPr>
                <w:rFonts w:ascii="Arial" w:cs="Arial" w:eastAsia="Arial" w:hAnsi="Arial"/>
                <w:sz w:val="18"/>
                <w:szCs w:val="18"/>
                <w:color w:val="auto"/>
              </w:rPr>
              <w:t>Ordinary shares: $0.00025 par value; 2,400,000 and 2,400,000 shares (including 1,800,000 Class A</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w w:val="99"/>
              </w:rPr>
              <w:t>ordinary shares, 200,000 Class B ordinary shares and 400,000 shares to be designated) authorized;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w w:val="96"/>
              </w:rPr>
              <w:t>222,706 and 224,838 shares (including 123,059 Class A ordinary shares and 101,779 Class B ordinary</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shares) issued and outstanding as of December 31, 2017 and 2018,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1,030,048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152,949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520"/>
              <w:spacing w:after="0"/>
              <w:rPr>
                <w:sz w:val="20"/>
                <w:szCs w:val="20"/>
                <w:color w:val="auto"/>
              </w:rPr>
            </w:pPr>
            <w:r>
              <w:rPr>
                <w:rFonts w:ascii="Arial" w:cs="Arial" w:eastAsia="Arial" w:hAnsi="Arial"/>
                <w:sz w:val="18"/>
                <w:szCs w:val="18"/>
                <w:color w:val="auto"/>
              </w:rPr>
              <w:t>Total Weibo shareholders’ equity</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1,192,587</w:t>
            </w: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1,745,459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shareholders’ equity</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1,194,794</w:t>
            </w:r>
          </w:p>
        </w:tc>
        <w:tc>
          <w:tcPr>
            <w:tcW w:w="3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1,748,138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2,561,819</w:t>
            </w:r>
          </w:p>
        </w:tc>
        <w:tc>
          <w:tcPr>
            <w:tcW w:w="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3,274,682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Advertising and marketing revenues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Third parties</w:t>
            </w:r>
          </w:p>
        </w:tc>
        <w:tc>
          <w:tcPr>
            <w:tcW w:w="5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428,275</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780,545</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Alibaba (Note 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57,908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84,688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SINA and other related parties (Note 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84,799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131,512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570,982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996,745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Value-added services revenues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84,818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153,309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655,800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1,150,054</w:t>
            </w:r>
          </w:p>
        </w:tc>
        <w:tc>
          <w:tcPr>
            <w:tcW w:w="2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1,718,518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171,231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231,255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148,283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154,088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193,393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41,218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42,315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Goodwill and acquired intangibles impairment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514,820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742,500</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140,980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407,554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equity method investments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Realized gain (loss) from investments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changes through earnings on investments, net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Investment related impairment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(40,161)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(4,747)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Income before income tax expenses</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417,111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of income taxes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66,746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350,365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Weibo</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352,590</w:t>
            </w:r>
          </w:p>
        </w:tc>
        <w:tc>
          <w:tcPr>
            <w:tcW w:w="2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105,664</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350,365</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340"/>
              <w:spacing w:after="0" w:line="201" w:lineRule="exact"/>
              <w:rPr>
                <w:sz w:val="20"/>
                <w:szCs w:val="20"/>
                <w:color w:val="auto"/>
              </w:rPr>
            </w:pPr>
            <w:r>
              <w:rPr>
                <w:rFonts w:ascii="Arial" w:cs="Arial" w:eastAsia="Arial" w:hAnsi="Arial"/>
                <w:sz w:val="18"/>
                <w:szCs w:val="18"/>
                <w:color w:val="auto"/>
                <w:w w:val="95"/>
              </w:rPr>
              <w:t>Currency translation adjustments (net of tax of nil, nil, and nil for 2016, 2017 and 2018,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(18,898)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37,822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520"/>
              <w:spacing w:after="0" w:line="201" w:lineRule="exact"/>
              <w:rPr>
                <w:sz w:val="20"/>
                <w:szCs w:val="20"/>
                <w:color w:val="auto"/>
              </w:rPr>
            </w:pPr>
            <w:r>
              <w:rPr>
                <w:rFonts w:ascii="Arial" w:cs="Arial" w:eastAsia="Arial" w:hAnsi="Arial"/>
                <w:sz w:val="18"/>
                <w:szCs w:val="18"/>
                <w:color w:val="auto"/>
                <w:w w:val="95"/>
              </w:rPr>
              <w:t>Change in unrealized loss from available-for-sale securities (net of tax of nil, nil, and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nil for 2016, 2017, and 2018, respectively)</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(2,557)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7"/>
              </w:rPr>
              <w:t>Reclassification adjustment for net loss included in net income (net of tax of nil, nil,</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and nil for 2016, 2017, and 2018, respectively)</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4,822</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change, net of tax</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387,192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(2,637)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(1,926)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Weibo</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Shares used in computing net income per share attributable to Weibo:</w:t>
            </w: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214,745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220,555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222,859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225,363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8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780" w:type="dxa"/>
            <w:vAlign w:val="bottom"/>
            <w:gridSpan w:val="3"/>
            <w:vMerge w:val="restart"/>
          </w:tcPr>
          <w:p>
            <w:pPr>
              <w:jc w:val="right"/>
              <w:ind w:right="244"/>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3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controlling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1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380" w:type="dxa"/>
            <w:vAlign w:val="bottom"/>
            <w:gridSpan w:val="2"/>
          </w:tcPr>
          <w:p>
            <w:pPr>
              <w:jc w:val="center"/>
              <w:ind w:right="328"/>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2015</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212,177</w:t>
            </w: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544"/>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53</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938,922</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(10,635)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(307,668)</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7,357</w:t>
            </w: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628,029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00" w:type="dxa"/>
            <w:vAlign w:val="bottom"/>
          </w:tcPr>
          <w:p>
            <w:pPr>
              <w:spacing w:after="0" w:line="110" w:lineRule="exact"/>
              <w:rPr>
                <w:sz w:val="20"/>
                <w:szCs w:val="20"/>
                <w:color w:val="auto"/>
              </w:rPr>
            </w:pPr>
            <w:r>
              <w:rPr>
                <w:rFonts w:ascii="Arial" w:cs="Arial" w:eastAsia="Arial" w:hAnsi="Arial"/>
                <w:sz w:val="12"/>
                <w:szCs w:val="12"/>
                <w:color w:val="auto"/>
              </w:rPr>
              <w:t>Issuance of ordinary shares pursuant to</w:t>
            </w: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80"/>
              <w:spacing w:after="0"/>
              <w:rPr>
                <w:sz w:val="20"/>
                <w:szCs w:val="20"/>
                <w:color w:val="auto"/>
              </w:rPr>
            </w:pPr>
            <w:r>
              <w:rPr>
                <w:rFonts w:ascii="Arial" w:cs="Arial" w:eastAsia="Arial" w:hAnsi="Arial"/>
                <w:sz w:val="14"/>
                <w:szCs w:val="14"/>
                <w:color w:val="auto"/>
              </w:rPr>
              <w:t>stock plan</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5,899</w:t>
            </w:r>
          </w:p>
        </w:tc>
        <w:tc>
          <w:tcPr>
            <w:tcW w:w="6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3,981</w:t>
            </w:r>
          </w:p>
        </w:tc>
        <w:tc>
          <w:tcPr>
            <w:tcW w:w="10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3,983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stock-based compensation</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36,902</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36,902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line="130" w:lineRule="exact"/>
              <w:rPr>
                <w:sz w:val="20"/>
                <w:szCs w:val="20"/>
                <w:color w:val="auto"/>
              </w:rPr>
            </w:pPr>
            <w:r>
              <w:rPr>
                <w:rFonts w:ascii="Arial" w:cs="Arial" w:eastAsia="Arial" w:hAnsi="Arial"/>
                <w:sz w:val="14"/>
                <w:szCs w:val="14"/>
                <w:color w:val="auto"/>
              </w:rPr>
              <w:t>Sale (Purchase) of subsidiaries’ shares to</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(from) non-controlling shareholders,</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80"/>
              <w:spacing w:after="0"/>
              <w:rPr>
                <w:sz w:val="20"/>
                <w:szCs w:val="20"/>
                <w:color w:val="auto"/>
              </w:rPr>
            </w:pPr>
            <w:r>
              <w:rPr>
                <w:rFonts w:ascii="Arial" w:cs="Arial" w:eastAsia="Arial" w:hAnsi="Arial"/>
                <w:sz w:val="14"/>
                <w:szCs w:val="14"/>
                <w:color w:val="auto"/>
              </w:rPr>
              <w:t>net</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(587)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108,027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105,664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(18,624)</w:t>
            </w:r>
          </w:p>
        </w:tc>
        <w:tc>
          <w:tcPr>
            <w:tcW w:w="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(18,898)</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change in other comprehensive loss</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from available-for-sale securities</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2,265</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December 31, 2016</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218,076</w:t>
            </w:r>
          </w:p>
        </w:tc>
        <w:tc>
          <w:tcPr>
            <w:tcW w:w="3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55</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979,805</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(26,994)</w:t>
            </w: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(199,641)</w:t>
            </w: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4,133</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757,358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Issuance of ordinary shares pursuant to</w:t>
            </w:r>
          </w:p>
        </w:tc>
        <w:tc>
          <w:tcPr>
            <w:tcW w:w="8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plan</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4,630</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Non-cash stock-based compensation</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48,037</w:t>
            </w:r>
          </w:p>
        </w:tc>
        <w:tc>
          <w:tcPr>
            <w:tcW w:w="100" w:type="dxa"/>
            <w:vAlign w:val="bottom"/>
          </w:tcPr>
          <w:p>
            <w:pPr>
              <w:spacing w:after="0"/>
              <w:rPr>
                <w:sz w:val="12"/>
                <w:szCs w:val="12"/>
                <w:color w:val="auto"/>
              </w:rPr>
            </w:pPr>
          </w:p>
        </w:tc>
        <w:tc>
          <w:tcPr>
            <w:tcW w:w="13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48,037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352,590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350,365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37,523</w:t>
            </w:r>
          </w:p>
        </w:tc>
        <w:tc>
          <w:tcPr>
            <w:tcW w:w="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37,822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from available-for-sale</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(995)</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December 31, 2017</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222,706</w:t>
            </w:r>
          </w:p>
        </w:tc>
        <w:tc>
          <w:tcPr>
            <w:tcW w:w="3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56</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1,030,048</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9,534</w:t>
            </w: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152,949</w:t>
            </w: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2,207</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1,194,794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Issuance of ordinary shares pursuant to</w:t>
            </w:r>
          </w:p>
        </w:tc>
        <w:tc>
          <w:tcPr>
            <w:tcW w:w="8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plan</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2,132</w:t>
            </w: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Non-cash stock-based compensation</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41,011</w:t>
            </w:r>
          </w:p>
        </w:tc>
        <w:tc>
          <w:tcPr>
            <w:tcW w:w="100" w:type="dxa"/>
            <w:vAlign w:val="bottom"/>
          </w:tcPr>
          <w:p>
            <w:pPr>
              <w:spacing w:after="0"/>
              <w:rPr>
                <w:sz w:val="12"/>
                <w:szCs w:val="12"/>
                <w:color w:val="auto"/>
              </w:rPr>
            </w:pPr>
          </w:p>
        </w:tc>
        <w:tc>
          <w:tcPr>
            <w:tcW w:w="13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Impact of adoption of new revenue</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guidance (Note 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30"/>
        </w:trPr>
        <w:tc>
          <w:tcPr>
            <w:tcW w:w="2700" w:type="dxa"/>
            <w:vAlign w:val="bottom"/>
          </w:tcPr>
          <w:p>
            <w:pPr>
              <w:spacing w:after="0" w:line="130" w:lineRule="exact"/>
              <w:rPr>
                <w:sz w:val="20"/>
                <w:szCs w:val="20"/>
                <w:color w:val="auto"/>
              </w:rPr>
            </w:pPr>
            <w:r>
              <w:rPr>
                <w:rFonts w:ascii="Arial" w:cs="Arial" w:eastAsia="Arial" w:hAnsi="Arial"/>
                <w:sz w:val="14"/>
                <w:szCs w:val="14"/>
                <w:color w:val="auto"/>
              </w:rPr>
              <w:t>Impact of adoption of new guidance for</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investments in equity securities (Note</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80"/>
              <w:spacing w:after="0"/>
              <w:rPr>
                <w:sz w:val="20"/>
                <w:szCs w:val="20"/>
                <w:color w:val="auto"/>
              </w:rPr>
            </w:pPr>
            <w:r>
              <w:rPr>
                <w:rFonts w:ascii="Arial" w:cs="Arial" w:eastAsia="Arial" w:hAnsi="Arial"/>
                <w:sz w:val="14"/>
                <w:szCs w:val="14"/>
                <w:color w:val="auto"/>
              </w:rPr>
              <w:t>2)</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4"/>
                <w:szCs w:val="14"/>
                <w:color w:val="auto"/>
              </w:rPr>
              <w:t>995</w:t>
            </w: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571,823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797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572,620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(60,144)</w:t>
            </w:r>
          </w:p>
        </w:tc>
        <w:tc>
          <w:tcPr>
            <w:tcW w:w="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(60,273)</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 of subsidiaries’ shares from</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shareholders</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56"/>
        </w:trPr>
        <w:tc>
          <w:tcPr>
            <w:tcW w:w="2700" w:type="dxa"/>
            <w:vAlign w:val="bottom"/>
          </w:tcPr>
          <w:p>
            <w:pPr>
              <w:spacing w:after="0" w:line="155" w:lineRule="exact"/>
              <w:rPr>
                <w:sz w:val="20"/>
                <w:szCs w:val="20"/>
                <w:color w:val="auto"/>
              </w:rPr>
            </w:pPr>
            <w:r>
              <w:rPr>
                <w:rFonts w:ascii="Arial" w:cs="Arial" w:eastAsia="Arial" w:hAnsi="Arial"/>
                <w:sz w:val="14"/>
                <w:szCs w:val="14"/>
                <w:color w:val="auto"/>
              </w:rPr>
              <w:t>Balance at December 31, 2018</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224,838</w:t>
            </w:r>
          </w:p>
        </w:tc>
        <w:tc>
          <w:tcPr>
            <w:tcW w:w="3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57</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1,071,836</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(49,615</w:t>
            </w:r>
          </w:p>
        </w:tc>
        <w:tc>
          <w:tcPr>
            <w:tcW w:w="30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723,181</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2,679</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1,748,138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105,664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350,365</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13,982</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15,328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36,902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Provision for allowance for doubtful accounts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7,787</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5,478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(4,630)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(Income) Loss from equity method 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from equity method investments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 Loss on sale of 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changes through earnings on investments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Investment related impairment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40,161</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acquired intangibles impairment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 Loss on disposal of property and equipment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convertible debt issuance cost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acquisition: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due from third parties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(33,109)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Accounts receivable due from Alibaba</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29,759</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(18,539)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due from other related parties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2,372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(19,527)</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(28,050)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3,785</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22,121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68,102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88,474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Amount due to (from) SINA</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(30,753)</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9,492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31,967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5,130</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62,323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236,244</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539,151</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(314,363)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(1,439,558)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(1,792,481)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Maturities of short-term 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373,805</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696,245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and prepayment in long-term investments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(155,122)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Proceeds from disposal of/refund of prepayment on long-term 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12,188</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2,458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(13,253)</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(20,454)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to SINA</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Repayment of loan by SINA</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62,252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business acquisition, net of cash acquired</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(96,745)</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(815,422)</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Proceeds from employee options exercised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4,183</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convertible notes, net of debt issuance costs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879,293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Loan from SINA</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62,000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loan from SINA</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Payments to non-controlling shareholders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(1,148)</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883,578</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(15,208)</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28,880</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636,187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237,440</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364,766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364,766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1,000,953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9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 expenses on matching loan from SINA</w:t>
            </w:r>
          </w:p>
        </w:tc>
        <w:tc>
          <w:tcPr>
            <w:tcW w:w="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(1,537)</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 paid for interest expenses on convertible debt</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(3,386)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(8,168)</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in accounts payable</w:t>
            </w:r>
          </w:p>
        </w:tc>
        <w:tc>
          <w:tcPr>
            <w:tcW w:w="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2,158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3,667</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9"/>
              </w:rPr>
              <w:t>Uncollected proceeds from sale of subsidiary’s shares to non-controlling shareholders</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561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Unpaid consideration for acquisitions</w:t>
            </w:r>
          </w:p>
        </w:tc>
        <w:tc>
          <w:tcPr>
            <w:tcW w:w="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45"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 and reorganization</w:t>
      </w:r>
    </w:p>
    <w:p>
      <w:pPr>
        <w:spacing w:after="0" w:line="229"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Weibo Corporation (“Weibo” or the “Company”) is a leading social media for people to create, share and discover Chinese-language content. It provides an unprecedented and simple way for people and organizations to publicly express themselves in real time, interact with others on a massive global platform and stay connected with the world. As a microcosm of the Chinese society and a cultural phenomenon in China, Weibo allows people to be heard publicly and exposed to the rich ideas, cultures and experiences of the broader world. Media outlets use Weibo as a source of news and a distribution channel for their headline news. Government agencies and officials use Weibo as an official communication channel for disseminating information timely and gauging public opinion to improve public services. Charities use Weibo to make the world a better place by launching charitable projects, seeking donations and volunteers and leveraging celebrities and organizations on Weibo to amplify their impact to society. Weibo generates its revenues mostly from advertising and marketing services, as well as from value-added services, including VIP membership, live streaming, and game-related services.</w:t>
      </w:r>
    </w:p>
    <w:p>
      <w:pPr>
        <w:spacing w:after="0" w:line="166"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Incorporated in the Cayman Islands, Weibo Corporation is a controlled subsidiary of Sina Corporation (the “Parent” or “SINA”). In April 2014, the Company completed an initial public offering (the “IPO”) and received $306.5 million in net proceeds. Immediately prior to the completion of the IPO, all the ordinary shares held by SINA was converted into an equal number of the Class B ordinary shares, all the ordinary shares held by other shareholders was converted into an equal number of the Class A ordinary shares, and all of its outstanding preferred shares were automatically converted into Class A ordinary shares. The call option held by a subsidiary of Alibaba Group was exercised to purchase Class A ordinary shares from SINA and the Company. Each Class A ordinary share is entitled to one vote per share and each Class B ordinary share is entitled to three votes per share. Each Class B ordinary share can be converted into one Class A ordinary share at any time, while Class A ordinary shares cannot be converted into Class B ordinary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60" w:firstLine="510"/>
        <w:spacing w:after="0" w:line="264" w:lineRule="auto"/>
        <w:rPr>
          <w:sz w:val="20"/>
          <w:szCs w:val="20"/>
          <w:color w:val="auto"/>
        </w:rPr>
      </w:pPr>
      <w:r>
        <w:rPr>
          <w:rFonts w:ascii="Arial" w:cs="Arial" w:eastAsia="Arial" w:hAnsi="Arial"/>
          <w:sz w:val="18"/>
          <w:szCs w:val="18"/>
          <w:color w:val="auto"/>
        </w:rPr>
        <w:t>The Weibo business was founded by SINA, its parent, in 2009. Prior to the establishment of the Company, the operation of Weibo business was carried out by various subsidiaries and variable interest entities (“VIE”) of SINA (the “Predecessor Operations”). After its establishment, the Company gradually completed the reorganization steps as described below (the “Reorganization”).</w:t>
      </w:r>
    </w:p>
    <w:p>
      <w:pPr>
        <w:spacing w:after="0" w:line="18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i w:val="1"/>
          <w:iCs w:val="1"/>
          <w:color w:val="auto"/>
        </w:rPr>
        <w:t>Establishment of Weibo Corporation</w:t>
      </w:r>
      <w:r>
        <w:rPr>
          <w:rFonts w:ascii="Arial" w:cs="Arial" w:eastAsia="Arial" w:hAnsi="Arial"/>
          <w:sz w:val="18"/>
          <w:szCs w:val="18"/>
          <w:color w:val="auto"/>
        </w:rPr>
        <w:t>. Weibo Corporation, an exempted company with limited liability, is the holding company for the Weibo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Weibo HK is a wholly owned subsidiary of Weibo, and Weibo Technology, a wholly foreign-owned enterprise, (“the WFOE”), is a subsidiary of Weibo HK. The Company’s VIEs and VIEs’ subsidiaries are controlled by the WFOE through a series of contractual agreements. Weibo Corporation, its subsidiaries, VIEs and VIEs’ subsidiaries together are referred to as “the Group.”</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the Company’s major subsidiaries, major VIE and major VIE’s subsidiary: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Direct/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Date of</w:t>
            </w:r>
          </w:p>
        </w:tc>
        <w:tc>
          <w:tcPr>
            <w:tcW w:w="17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Place of</w:t>
            </w: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Indirect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76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Economic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Incorporation</w:t>
            </w:r>
          </w:p>
        </w:tc>
        <w:tc>
          <w:tcPr>
            <w:tcW w:w="17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Incorporation</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Major Subsidiaries</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Weibo Hong Kong Limited (“Weibo HK”)</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July 19, 2010</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Hong Kong</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gridSpan w:val="2"/>
          </w:tcPr>
          <w:p>
            <w:pPr>
              <w:spacing w:after="0" w:line="201" w:lineRule="exact"/>
              <w:rPr>
                <w:sz w:val="20"/>
                <w:szCs w:val="20"/>
                <w:color w:val="auto"/>
              </w:rPr>
            </w:pPr>
            <w:r>
              <w:rPr>
                <w:rFonts w:ascii="Arial" w:cs="Arial" w:eastAsia="Arial" w:hAnsi="Arial"/>
                <w:sz w:val="18"/>
                <w:szCs w:val="18"/>
                <w:color w:val="auto"/>
              </w:rPr>
              <w:t>Weibo Internet Technology (China) Co., Ltd. (“Weibo Technology” or “the</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WFOE”)</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October 11, 2010</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PRC</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Major VIE and major VIE’s subsidiary</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Weimeng Technology Co., Ltd (“Weimeng”)</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August 9, 2010</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PRC</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Beijing Weibo Interactive Internet Technology Co., Ltd. (“Weibo Interactive”)</w:t>
            </w:r>
          </w:p>
        </w:tc>
        <w:tc>
          <w:tcPr>
            <w:tcW w:w="176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Acquired in</w:t>
            </w: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May 2013</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PRC</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60" w:type="dxa"/>
            <w:vAlign w:val="bottom"/>
            <w:gridSpan w:val="2"/>
          </w:tcPr>
          <w:p>
            <w:pPr>
              <w:ind w:left="5560"/>
              <w:spacing w:after="0"/>
              <w:rPr>
                <w:sz w:val="20"/>
                <w:szCs w:val="20"/>
                <w:color w:val="auto"/>
              </w:rPr>
            </w:pPr>
            <w:r>
              <w:rPr>
                <w:rFonts w:ascii="Arial" w:cs="Arial" w:eastAsia="Arial" w:hAnsi="Arial"/>
                <w:sz w:val="18"/>
                <w:szCs w:val="18"/>
                <w:color w:val="auto"/>
              </w:rPr>
              <w:t>F-8</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i w:val="1"/>
          <w:iCs w:val="1"/>
          <w:color w:val="auto"/>
        </w:rPr>
        <w:t xml:space="preserve">Intellectual Property License Agreement. </w:t>
      </w:r>
      <w:r>
        <w:rPr>
          <w:rFonts w:ascii="Arial" w:cs="Arial" w:eastAsia="Arial" w:hAnsi="Arial"/>
          <w:sz w:val="16"/>
          <w:szCs w:val="16"/>
          <w:color w:val="auto"/>
        </w:rPr>
        <w:t>The intellectual property license agreement was entered into by and between SINA and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2013. Under this agreement, SINA granted the Company and its subsidiaries a perpetual, worldwide, royalty-free, fully paid-up, non-sublicensable, non-transferable, limited, exclusive license of certain trademarks and a non-exclusive license of certain other intellectual property owned by SINA to make, sell, offer to sell and distribute products, services and applications on a microblogging and social networking platform. The Company granted SINA and its affiliates a non-exclusive, perpetual, worldwide, non-sublicensable, non-transferable limited license of certain of the Company’s intellectual property to use, reproduce, modify, prepare derivative works of, perform, display or otherwise exploit such intellectual property. This agreement commenced on April 29, 2013 and will continue to be in effect unless terminated by SINA should the Company breach the terms as provided in the agreement.</w:t>
      </w:r>
    </w:p>
    <w:p>
      <w:pPr>
        <w:spacing w:after="0" w:line="167"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i w:val="1"/>
          <w:iCs w:val="1"/>
          <w:color w:val="auto"/>
        </w:rPr>
        <w:t xml:space="preserve">Basis of Presentation for the Reorganization. </w:t>
      </w:r>
      <w:r>
        <w:rPr>
          <w:rFonts w:ascii="Arial" w:cs="Arial" w:eastAsia="Arial" w:hAnsi="Arial"/>
          <w:sz w:val="18"/>
          <w:szCs w:val="18"/>
          <w:color w:val="auto"/>
        </w:rPr>
        <w:t>Since the Group and the Predecessor Operations are under common control,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 the assets, liabilities, revenue, expenses and cash flows that were directly attributable to the Predecessor Operations for all periods presented. The assets and liabilities have been stated at historical carrying amounts.</w:t>
      </w:r>
    </w:p>
    <w:p>
      <w:pPr>
        <w:spacing w:after="0" w:line="181"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Accounts receivable amounts directly related to Weibo but for which SINA will receive payments and remit payments to the Group, as well as accounts receivable directly from SINA, are included in the amount due from SINA. Liabilities directly related to Weibo but for which SINA will make payments and receive reimbursements from the Group, as well as liabilities directly to SINA, are included in the amount due to SINA. Loans from SINA are presented under cash flow from financing activities, whereas loans to SINA are presented under investing activities in the consolidated statements of cash flows. Cash payment for billings from SINA for costs and expenses allocated is presented under operating activities in the consolidated statements of cash flows. The Group’s statements of comprehensive income consists all the related costs and expenses of the Weibo business, including allocation to the cost of revenues, sales and marketing expenses, product development expenses, and general and administrative expenses, which are incurred by SINA but related to the Weibo business. These allocations were based on proportional cost allocation by considering proportion of the revenues, infrastructure usage metrics and labor usage metrics, among other things, attributable to the Group and are made on a basis considered reasonable by management.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cost and expenses allocated from SINA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4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11,022</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13,699</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Sales and marketing</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9,732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11,558</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4,316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6,393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7,264</w:t>
            </w:r>
          </w:p>
        </w:tc>
      </w:tr>
      <w:tr>
        <w:trPr>
          <w:trHeight w:val="210"/>
        </w:trPr>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312" w:lineRule="auto"/>
        <w:rPr>
          <w:sz w:val="20"/>
          <w:szCs w:val="20"/>
          <w:color w:val="auto"/>
        </w:rPr>
      </w:pPr>
      <w:r>
        <w:rPr>
          <w:rFonts w:ascii="Arial" w:cs="Arial" w:eastAsia="Arial" w:hAnsi="Arial"/>
          <w:sz w:val="16"/>
          <w:szCs w:val="16"/>
          <w:color w:val="auto"/>
        </w:rPr>
        <w:t>However, while the expenses allocated to the Group for these items are not necessarily indicative of the expenses that would have been incurred if the Group had been a separate and independent entity, the Company does not believe that there is any significant difference between the nature and amount of these allocated expenses and the expenses that would have been incurred if the Group had been a separate and stand-alone entity.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its wholly-owned subsidiaries, VIEs, of which the Company is the primary beneficiary, and VIEs’ subsidiaries. All significant intercompany balances and transactions have been eliminated.</w:t>
      </w:r>
    </w:p>
    <w:p>
      <w:pPr>
        <w:spacing w:after="0" w:line="170"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To comply with PRC laws and regulations, the Group provides a substantial amount of its services in China via the VIEs, which holds critical operating licenses that enable the Group to do business in China. Most of the Group’s revenues, costs and net income in China were generated directly or indirectly through the VIEs or the Predecessor Operations. The Company, through its subsidiary, has signed various agreements with the VIEs to allow the transfer of economic benefits from the VIEs to the Company. The Group has determined that it is the primary beneficiary of the VIEs through Weibo Technology’s contractual arrangements with the VIEs. Accordingly, the Company has consolidated the VIEs’ results of operations and assets and liabilities in the Group’s financial statements pursuant to the United States Generally Accepted Accounting Principles (“US GAAP”) for all the periods presented.</w:t>
      </w:r>
    </w:p>
    <w:p>
      <w:pPr>
        <w:spacing w:after="0" w:line="16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Shareholders of the VIEs are certain nominee shareholders from the Company or SINA. The capital for their investments in the VIEs is funded by the Company and recorded as interest-free loans to these individuals. These loans were eliminated with the capital of the VIEs during consolidation. Each shareholder of the VIEs has agreed to transfer their equity interest in the VIEs to Weibo Technology when permitted by PRC laws and regulations or to designees of the Company at any time for the amount of loans outstanding. All voting rights of the VIEs, including without limitation the right to appoint all directors of the VIEs, has been assigned to Weibo Technology. Weibo Technology has also entered into exclusive technical service agreements with the VIEs under which Weibo Technology provides technical and other services to the VIEs in exchange for substantially all net income of the VIEs. In addition, the shareholders of the VIEs have pledged their shares in the VIEs as collateral for the non-payment of loans or for the technical and other services fees due to Weibo Technology. As of December 31, 2017 and 2018, the total amount of interest-free loans to the VIEs’ shareholders was $86.9 million and $82.1 million, respectively. The aggregate accumulated loss of the VIEs and VIEs’ subsidiaries was $33.3 million as of December 31, 2017 and the VIEs and VIEs’ subsidiaries achieved an aggregate accumulated income of $23.2 million as of December 31, 2018, which were included in the Group’s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 sets forth the assets, liabilities, results of operations and cash flows of the VIEs and VIEs’ subsidiaries taken as a whole, which are included in the Group’s consolidated balance sheets and statements of comprehensive income:</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short-term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Prepayment for long-term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due from SINA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due to the subsidiaries of the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00"/>
        <w:spacing w:after="0" w:line="258" w:lineRule="auto"/>
        <w:rPr>
          <w:sz w:val="20"/>
          <w:szCs w:val="20"/>
          <w:color w:val="auto"/>
        </w:rPr>
      </w:pPr>
      <w:r>
        <w:rPr>
          <w:rFonts w:ascii="Arial" w:cs="Arial" w:eastAsia="Arial" w:hAnsi="Arial"/>
          <w:sz w:val="18"/>
          <w:szCs w:val="18"/>
          <w:color w:val="auto"/>
        </w:rPr>
        <w:t>Net cash provided by (used in) operating activities Net cash used in investing activities</w:t>
      </w:r>
    </w:p>
    <w:p>
      <w:pPr>
        <w:spacing w:after="0" w:line="1" w:lineRule="exact"/>
        <w:rPr>
          <w:sz w:val="20"/>
          <w:szCs w:val="20"/>
          <w:color w:val="auto"/>
        </w:rPr>
      </w:pPr>
    </w:p>
    <w:p>
      <w:pPr>
        <w:ind w:right="1460"/>
        <w:spacing w:after="0" w:line="361" w:lineRule="auto"/>
        <w:rPr>
          <w:sz w:val="20"/>
          <w:szCs w:val="20"/>
          <w:color w:val="auto"/>
        </w:rPr>
      </w:pPr>
      <w:r>
        <w:rPr>
          <w:rFonts w:ascii="Arial" w:cs="Arial" w:eastAsia="Arial" w:hAnsi="Arial"/>
          <w:sz w:val="15"/>
          <w:szCs w:val="15"/>
          <w:color w:val="auto"/>
        </w:rPr>
        <w:t>Net cash provided by (used in) financing activities Net increase (decrease) in cash and cash equivalents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5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gridSpan w:val="4"/>
          </w:tcPr>
          <w:p>
            <w:pPr>
              <w:jc w:val="right"/>
              <w:ind w:right="210"/>
              <w:spacing w:after="0" w:line="128"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40,458</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55,506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166,212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366,128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13,123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4,967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74,935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275,819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4,772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4,677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31,787</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28,850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121,220</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338,657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908,590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32,444</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79,881</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114,239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181,188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54,651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16,268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57,639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440,563</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11,875</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275,370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800,208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2"/>
          </w:tcPr>
          <w:p>
            <w:pPr>
              <w:jc w:val="center"/>
              <w:ind w:right="460"/>
              <w:spacing w:after="0" w:line="128"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530,598</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906,129</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1,416,367</w:t>
            </w:r>
          </w:p>
        </w:tc>
        <w:tc>
          <w:tcPr>
            <w:tcW w:w="60" w:type="dxa"/>
            <w:vAlign w:val="bottom"/>
          </w:tcPr>
          <w:p>
            <w:pPr>
              <w:spacing w:after="0"/>
              <w:rPr>
                <w:sz w:val="18"/>
                <w:szCs w:val="18"/>
                <w:color w:val="auto"/>
              </w:rPr>
            </w:pPr>
          </w:p>
        </w:tc>
      </w:tr>
      <w:tr>
        <w:trPr>
          <w:trHeight w:val="257"/>
        </w:trPr>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(21,758)</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21,252</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56,466</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2"/>
          </w:tcPr>
          <w:p>
            <w:pPr>
              <w:jc w:val="center"/>
              <w:ind w:right="460"/>
              <w:spacing w:after="0" w:line="128"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(42,556)</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(66,972)</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46,738</w:t>
            </w:r>
          </w:p>
        </w:tc>
        <w:tc>
          <w:tcPr>
            <w:tcW w:w="60" w:type="dxa"/>
            <w:vAlign w:val="bottom"/>
          </w:tcPr>
          <w:p>
            <w:pPr>
              <w:spacing w:after="0"/>
              <w:rPr>
                <w:sz w:val="18"/>
                <w:szCs w:val="18"/>
                <w:color w:val="auto"/>
              </w:rPr>
            </w:pPr>
          </w:p>
        </w:tc>
      </w:tr>
      <w:tr>
        <w:trPr>
          <w:trHeight w:val="216"/>
        </w:trPr>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(28,577)</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(34,720)</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(331,243)</w:t>
            </w:r>
          </w:p>
        </w:tc>
      </w:tr>
      <w:tr>
        <w:trPr>
          <w:trHeight w:val="230"/>
        </w:trPr>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(1,148)</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76,232</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292,151</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-4458970</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-4184650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-3909695</wp:posOffset>
            </wp:positionV>
            <wp:extent cx="72466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-3635375</wp:posOffset>
            </wp:positionV>
            <wp:extent cx="72466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-3361055</wp:posOffset>
            </wp:positionV>
            <wp:extent cx="72466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-3086735</wp:posOffset>
            </wp:positionV>
            <wp:extent cx="72466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-2778125</wp:posOffset>
            </wp:positionV>
            <wp:extent cx="72466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-2503805</wp:posOffset>
            </wp:positionV>
            <wp:extent cx="72466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-2228850</wp:posOffset>
            </wp:positionV>
            <wp:extent cx="72466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-1954530</wp:posOffset>
            </wp:positionV>
            <wp:extent cx="72466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-1345565</wp:posOffset>
            </wp:positionV>
            <wp:extent cx="72466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-591185</wp:posOffset>
            </wp:positionV>
            <wp:extent cx="72466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-316865</wp:posOffset>
            </wp:positionV>
            <wp:extent cx="72466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5240" w:space="720"/>
            <w:col w:w="5440"/>
          </w:cols>
          <w:pgMar w:left="240" w:top="125" w:right="259" w:bottom="1440" w:gutter="0" w:footer="0" w:header="0"/>
          <w:type w:val="continuous"/>
        </w:sectPr>
      </w:pPr>
    </w:p>
    <w:p>
      <w:pPr>
        <w:ind w:firstLine="510"/>
        <w:spacing w:after="0" w:line="270" w:lineRule="auto"/>
        <w:rPr>
          <w:sz w:val="20"/>
          <w:szCs w:val="20"/>
          <w:color w:val="auto"/>
        </w:rPr>
      </w:pPr>
      <w:r>
        <w:rPr>
          <w:rFonts w:ascii="Arial" w:cs="Arial" w:eastAsia="Arial" w:hAnsi="Arial"/>
          <w:sz w:val="17"/>
          <w:szCs w:val="17"/>
          <w:color w:val="auto"/>
        </w:rPr>
        <w:t>Under the contractual arrangements with the VIEs, the Company has the power to direct activities of the VIEs through Weibo Technology and can have assets transferred freely out of the VIEs without restrictions. Therefore, the Company considers that there is no asset of the VIEs that can only be used to settle obligations of the VIEs and VIEs’ subsidiaries, except for the registered capital and non-distributable reserve funds of the VIEs and VIEs’ subsidiaries, amounting to $137.3 million and $144.1 million as of December 31, 2017 and 2018, respectively. Since the VIEs are incorporated as limited liability companies under the PRC Company Law, creditors of the VIEs do not have recourse to the general credit of the Company. There is currently no contractual arrangement that would require the Company to provide additional financial support to the VIEs. As the Company is conducting certain businesses mainly through the VIEs, the Company may provide such support on a discretionary basis in the future, which could expose the Company to a loss. The total amount of costs and expenses allocated from SINA to the VIEs was $12.3 million, $21.4 million and $25.6 million for the years ended December 31, 2016, 2017 and 2018, respectively.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Unrecognized revenue-producing assets held by the VIEs include the Internet Content Provision License, the Online Culture Operating Permit, and the domain names of Weibo.com, Weibo.cn and Weibo.com.cn. Recognized revenue-producing assets held by the VIEs include live streaming platform technology, supplier-relationship contracts, and trademark and domain names, which were acquired through the Yizhibo acquisition. Unrecognized revenue-producing assets, including customer lists relating to advertising and marketing services, VIP membership, and game-related services, as well as trademarks, are also held by Weibo Technology.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VIEs agreements:</w:t>
      </w:r>
    </w:p>
    <w:p>
      <w:pPr>
        <w:spacing w:after="0" w:line="225" w:lineRule="exact"/>
        <w:rPr>
          <w:sz w:val="20"/>
          <w:szCs w:val="20"/>
          <w:color w:val="auto"/>
        </w:rPr>
      </w:pPr>
    </w:p>
    <w:p>
      <w:pPr>
        <w:ind w:right="80" w:firstLine="510"/>
        <w:spacing w:after="0" w:line="312" w:lineRule="auto"/>
        <w:rPr>
          <w:sz w:val="20"/>
          <w:szCs w:val="20"/>
          <w:color w:val="auto"/>
        </w:rPr>
      </w:pPr>
      <w:r>
        <w:rPr>
          <w:rFonts w:ascii="Arial" w:cs="Arial" w:eastAsia="Arial" w:hAnsi="Arial"/>
          <w:sz w:val="16"/>
          <w:szCs w:val="16"/>
          <w:i w:val="1"/>
          <w:iCs w:val="1"/>
          <w:color w:val="auto"/>
        </w:rPr>
        <w:t>Loan Agreements</w:t>
      </w:r>
      <w:r>
        <w:rPr>
          <w:rFonts w:ascii="Arial" w:cs="Arial" w:eastAsia="Arial" w:hAnsi="Arial"/>
          <w:sz w:val="16"/>
          <w:szCs w:val="16"/>
          <w:color w:val="auto"/>
        </w:rPr>
        <w:t>. The Company’s wholly owned subsidiary Weibo Technology has granted interest-free loans to each shareholder of the VIEs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sole purpose of providing funds necessary for capital injection into the VIEs. The terms of the loans are for 10 years, and Weibo Technology has the right to, at its own discretion, shorten or extend the terms of the loans, if necessary. These loans were eliminated with the capital of the VIEs during consolidation.</w:t>
      </w:r>
    </w:p>
    <w:p>
      <w:pPr>
        <w:spacing w:after="0" w:line="14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 xml:space="preserve">Share Transfer Agreements. </w:t>
      </w:r>
      <w:r>
        <w:rPr>
          <w:rFonts w:ascii="Arial" w:cs="Arial" w:eastAsia="Arial" w:hAnsi="Arial"/>
          <w:sz w:val="18"/>
          <w:szCs w:val="18"/>
          <w:color w:val="auto"/>
        </w:rPr>
        <w:t>Each shareholder of the VIEs has granted Weibo Technology an option to purchase his shares in the VIEs at a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equal to the amount of the capital injection. Weibo Technology may exercise such option at any time until it has acquired all of the shares of the VIEs, subject to applicable PRC laws. The option will be effective until the earlier of (i) the shareholders of the VIEs and Weibo Technology have fully performed their obligations under this agreement, and (ii) the respective shareholders of the VIEs and Weibo Technology agree to terminate the share transfer agreement in writing.</w:t>
      </w:r>
    </w:p>
    <w:p>
      <w:pPr>
        <w:spacing w:after="0" w:line="188" w:lineRule="exact"/>
        <w:rPr>
          <w:sz w:val="20"/>
          <w:szCs w:val="20"/>
          <w:color w:val="auto"/>
        </w:rPr>
      </w:pPr>
    </w:p>
    <w:p>
      <w:pPr>
        <w:ind w:right="140" w:firstLine="510"/>
        <w:spacing w:after="0" w:line="302" w:lineRule="auto"/>
        <w:rPr>
          <w:sz w:val="20"/>
          <w:szCs w:val="20"/>
          <w:color w:val="auto"/>
        </w:rPr>
      </w:pPr>
      <w:r>
        <w:rPr>
          <w:rFonts w:ascii="Arial" w:cs="Arial" w:eastAsia="Arial" w:hAnsi="Arial"/>
          <w:sz w:val="16"/>
          <w:szCs w:val="16"/>
          <w:i w:val="1"/>
          <w:iCs w:val="1"/>
          <w:color w:val="auto"/>
        </w:rPr>
        <w:t xml:space="preserve">Loan Repayment Agreements. </w:t>
      </w:r>
      <w:r>
        <w:rPr>
          <w:rFonts w:ascii="Arial" w:cs="Arial" w:eastAsia="Arial" w:hAnsi="Arial"/>
          <w:sz w:val="16"/>
          <w:szCs w:val="16"/>
          <w:color w:val="auto"/>
        </w:rPr>
        <w:t>Each shareholder of the VIEs has agreed with Weibo Technology that the interest-free loans under the loan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shall only be repaid through share transfer. Once the share transfers are completed, the purchase price for the share transfer will be set off against the loan repayment. These agreements will be effective until the earlier of (i) Weibo Technology and the shareholders of the VIEs have fully performed their obligations under these agreements, and (ii) Weibo Technology and the shareholders of the VIEs agree in writing to terminate these agreements.</w:t>
      </w:r>
    </w:p>
    <w:p>
      <w:pPr>
        <w:spacing w:after="0" w:line="154" w:lineRule="exact"/>
        <w:rPr>
          <w:sz w:val="20"/>
          <w:szCs w:val="20"/>
          <w:color w:val="auto"/>
        </w:rPr>
      </w:pPr>
    </w:p>
    <w:p>
      <w:pPr>
        <w:jc w:val="both"/>
        <w:ind w:right="120" w:firstLine="510"/>
        <w:spacing w:after="0" w:line="302" w:lineRule="auto"/>
        <w:rPr>
          <w:sz w:val="20"/>
          <w:szCs w:val="20"/>
          <w:color w:val="auto"/>
        </w:rPr>
      </w:pPr>
      <w:r>
        <w:rPr>
          <w:rFonts w:ascii="Arial" w:cs="Arial" w:eastAsia="Arial" w:hAnsi="Arial"/>
          <w:sz w:val="16"/>
          <w:szCs w:val="16"/>
          <w:i w:val="1"/>
          <w:iCs w:val="1"/>
          <w:color w:val="auto"/>
        </w:rPr>
        <w:t>Agreements on Authorization to Exercise Shareholder’s Voting Power</w:t>
      </w:r>
      <w:r>
        <w:rPr>
          <w:rFonts w:ascii="Arial" w:cs="Arial" w:eastAsia="Arial" w:hAnsi="Arial"/>
          <w:sz w:val="16"/>
          <w:szCs w:val="16"/>
          <w:color w:val="auto"/>
        </w:rPr>
        <w:t>. Each shareholder of the VIEs has authorized Weibo Technology to exercise all</w:t>
      </w:r>
      <w:r>
        <w:rPr>
          <w:rFonts w:ascii="Arial" w:cs="Arial" w:eastAsia="Arial" w:hAnsi="Arial"/>
          <w:sz w:val="16"/>
          <w:szCs w:val="16"/>
          <w:i w:val="1"/>
          <w:iCs w:val="1"/>
          <w:color w:val="auto"/>
        </w:rPr>
        <w:t xml:space="preserve"> </w:t>
      </w:r>
      <w:r>
        <w:rPr>
          <w:rFonts w:ascii="Arial" w:cs="Arial" w:eastAsia="Arial" w:hAnsi="Arial"/>
          <w:sz w:val="16"/>
          <w:szCs w:val="16"/>
          <w:color w:val="auto"/>
        </w:rPr>
        <w:t>his voting power as a shareholder of the VIEs on all matters requiring shareholders’ approval under PRC laws and regulations and the articles of association of the VIEs, including without limitation to the appointment of directors, transfer, mortgage or dispose of the VIEs’ assets, transfer of any equity interest in the VIEs, and merger, split, dissolution and liquidation of the VIEs. The authorizations are irrevocable and will not expire until the VIEs dissolve.</w:t>
      </w:r>
    </w:p>
    <w:p>
      <w:pPr>
        <w:spacing w:after="0" w:line="154" w:lineRule="exact"/>
        <w:rPr>
          <w:sz w:val="20"/>
          <w:szCs w:val="20"/>
          <w:color w:val="auto"/>
        </w:rPr>
      </w:pPr>
    </w:p>
    <w:p>
      <w:pPr>
        <w:ind w:right="180" w:firstLine="510"/>
        <w:spacing w:after="0" w:line="290" w:lineRule="auto"/>
        <w:rPr>
          <w:sz w:val="20"/>
          <w:szCs w:val="20"/>
          <w:color w:val="auto"/>
        </w:rPr>
      </w:pPr>
      <w:r>
        <w:rPr>
          <w:rFonts w:ascii="Arial" w:cs="Arial" w:eastAsia="Arial" w:hAnsi="Arial"/>
          <w:sz w:val="16"/>
          <w:szCs w:val="16"/>
          <w:i w:val="1"/>
          <w:iCs w:val="1"/>
          <w:color w:val="auto"/>
        </w:rPr>
        <w:t>Share Pledge Agreements</w:t>
      </w:r>
      <w:r>
        <w:rPr>
          <w:rFonts w:ascii="Arial" w:cs="Arial" w:eastAsia="Arial" w:hAnsi="Arial"/>
          <w:sz w:val="16"/>
          <w:szCs w:val="16"/>
          <w:color w:val="auto"/>
        </w:rPr>
        <w:t>. Each shareholder of the VIEs has pledged all of his shares in the VIEs and all other rights relevant to the share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Weibo Technology, as a collateral security for his obligations to pay off all debts to Weibo Technology, under the loan agreement and for the payment obligations of the VIEs under the trademark license agreement and the technical services agreement. In the event of default of any payment obligations, Weibo Technology will be entitled to certain rights, including transferring the pledged shares to itself and disposing the pledged shares through sale or auction. During the term of each agreement, Weibo Technology is entitled to receive all dividends and distributions paid on the pledged shares. The pledges will be effective until the earlier of (i) the third anniversary of the due date of the last guaranteed debt, (ii) the VIEs and the shareholders of the VIEs have fully performed their obligations under the above-referred agreements, and (iii) Weibo Technology unilaterally consents to terminate the respective share pledge agreement. As of the date of this annual report, the registration of such equity pledges is still in the process.</w:t>
      </w:r>
    </w:p>
    <w:p>
      <w:pPr>
        <w:spacing w:after="0" w:line="16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i w:val="1"/>
          <w:iCs w:val="1"/>
          <w:color w:val="auto"/>
        </w:rPr>
        <w:t xml:space="preserve">Exclusive Technical Services Agreement, Exclusive Sales Agency Agreement and Trademark License Agreement. </w:t>
      </w:r>
      <w:r>
        <w:rPr>
          <w:rFonts w:ascii="Arial" w:cs="Arial" w:eastAsia="Arial" w:hAnsi="Arial"/>
          <w:sz w:val="18"/>
          <w:szCs w:val="18"/>
          <w:color w:val="auto"/>
        </w:rPr>
        <w:t>The VIEs have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technical services agreement, an exclusive sales agency agreement and a trademark license agreement with Weibo Technology. Under the exclusive technical services agreement, Weibo Technology is engaged to provide technical services for the VIEs’ online advertising and other related businesses. Under the exclusive sales agency agreement, the VIEs have granted Weibo Technology the exclusive right to distribute, sell and provide agency services for all the products and services provided by the VIEs. The term of the technical service agreement and the sales agency agreement will not expire until the VIEs dissolve.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0"/>
        <w:spacing w:after="0" w:line="297" w:lineRule="auto"/>
        <w:rPr>
          <w:sz w:val="20"/>
          <w:szCs w:val="20"/>
          <w:color w:val="auto"/>
        </w:rPr>
      </w:pPr>
      <w:r>
        <w:rPr>
          <w:rFonts w:ascii="Arial" w:cs="Arial" w:eastAsia="Arial" w:hAnsi="Arial"/>
          <w:sz w:val="16"/>
          <w:szCs w:val="16"/>
          <w:color w:val="auto"/>
        </w:rPr>
        <w:t>Due to its control over the VIEs, Weibo Technology has the right to determine the service fee to be charged to the VIEs under these agreements. By considering, among other things, the technical complexity of the service, the actual cost that may be incurred for providing such service, the operations of the VIEs, applicable tax rates, planned capital expenditure and business strategies, Weibo Technology charged an amount of $335.6 million, $618.1 million and $842.6 million in service fees from the VIEs under these agreements for the years ended December 31, 2016, 2017 and 2018, respectively, which was determined based on the actual cost incurred for providing such service and the cash position and operation of the VIEs.</w:t>
      </w:r>
    </w:p>
    <w:p>
      <w:pPr>
        <w:spacing w:after="0" w:line="158"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Under the trademark license agreement, Weibo Technology has granted the VIEs trademark licenses to use its trademarks for specific areas, and the VIEs are obligated to pay license fees to Weibo Technology. The term of the agreement is for one year and is automatically renewed provided that there is no objection from Weibo Technology.</w:t>
      </w:r>
    </w:p>
    <w:p>
      <w:pPr>
        <w:spacing w:after="0" w:line="18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Company believes that the contractual arrangements among its subsidiary, VIEs and VIEs’ shareholders are in compliance with the current PRC laws and legally enforceable. However, uncertainties in the interpretation and enforcement of the PRC laws, regulations and policies could limit the Company’s ability to enforce these contractual arrangements. As a result, the Company may be unable to consolidate the VIEs and VIEs’ subsidiaries in the consolidated financial statements. The Company’s ability to control the VIEs also depends on the authorization by the shareholders of the VIEs to exercise voting rights on all matters requiring shareholder approval in the VIEs. The Company believes that the agreements on authorization to exercise shareholder’s voting power are legally enforceable. In addition, if the legal structure and contractual arrangements with the VIEs were found to be in violation of any future PRC laws and regulations, the Company may be subject to fines or other actions. The Company believes the possibility that it will no longer be able to control and consolidate the VIEs as a result of the aforementioned risks and uncertainties are remote.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preparation of the Group’s consolidated financial statements is in conformity with US GAAP. The consolidated financial statements include the accounts of Weibo, its wholly owned subsidiaries, VIEs, and VIEs’ subsidiaries. All significant intercompany balances and transactions have been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Conformity with US GAAP requires the use of estimates and judgments that affect the reported amounts in the consolidated financial statements and accompanying notes. These estimates form the basis for judgments the management makes about the carrying values of the assets and liabilities, which are not readily apparent from other sources. GAAP requires making estimates and judgments in several areas, including, but not limited to, the basis of consolidation, revenue recognition, fair value accounting, income taxes, goodwill and other long-lived assets, allowances for doubtful accounts, stock-based compensation, the estimated useful lives of assets and convertible debt. The management bases the estimates and judgments on historical information and on various other assumptions that management believes are reasonable under the circumstances. Actual results could differ materially from such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 May 2014, the Financial Accounting Standards Board (“FASB”) issued, ASU 2014-09, “Revenue from Contracts with Customers (Topic 606).” The Group adopted the new revenue guidance since January 1, 2018 using the modified retrospective method. Results for reporting periods beginning on or after January 1, 2018 are presented under ASC 606, while prior period amounts are not adjusted and continue to be reported in accordance with the Group’s historic accounting method under ASC 605. The main impacts are a) the presentation of value added tax recognized in revenue from “gross” to “net”, which results in equal decrease of revenues and cost of revenues, and b) the recognition of revenues and expenses at fair value for advertising barter transactions, which mainly results in the increase of revenue and advertising expenses. The cumulative-effect adjustment on the retained earnings as of January 1, 2018 related to the initial application of the new revenue standard was a decrease of $0.6 million, which resulted from advertising barter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w:t>
      </w:r>
    </w:p>
    <w:p>
      <w:pPr>
        <w:spacing w:after="0" w:line="225" w:lineRule="exact"/>
        <w:rPr>
          <w:sz w:val="20"/>
          <w:szCs w:val="20"/>
          <w:color w:val="auto"/>
        </w:rPr>
      </w:pPr>
    </w:p>
    <w:p>
      <w:pPr>
        <w:ind w:right="60" w:firstLine="510"/>
        <w:spacing w:after="0" w:line="264" w:lineRule="auto"/>
        <w:rPr>
          <w:sz w:val="20"/>
          <w:szCs w:val="20"/>
          <w:color w:val="auto"/>
        </w:rPr>
      </w:pPr>
      <w:r>
        <w:rPr>
          <w:rFonts w:ascii="Arial" w:cs="Arial" w:eastAsia="Arial" w:hAnsi="Arial"/>
          <w:sz w:val="18"/>
          <w:szCs w:val="18"/>
          <w:color w:val="auto"/>
        </w:rPr>
        <w:t>The cumulative-effect adjustment on the retained earnings as of January 1, 2018 related to the initial application of the new revenue standard was $0.6 million, which resulted from advertising barter transactions. The adoption resulted in an increase of $2.1 million in deferred revenue and an increase of $0.6 million in other current assets as of December 31, 2018.</w:t>
      </w:r>
    </w:p>
    <w:p>
      <w:pPr>
        <w:spacing w:after="0" w:line="18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table below summarized the impact of adoption of the new revenue standard on the Group’s consolidated statement of comprehensive income for the year ended December 31, 2018.</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Year ended December 31, 2018</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Borders>
              <w:bottom w:val="single" w:sz="8" w:color="auto"/>
            </w:tcBorders>
            <w:gridSpan w:val="3"/>
          </w:tcPr>
          <w:p>
            <w:pPr>
              <w:jc w:val="center"/>
              <w:ind w:left="999"/>
              <w:spacing w:after="0" w:line="142" w:lineRule="exact"/>
              <w:rPr>
                <w:sz w:val="20"/>
                <w:szCs w:val="20"/>
                <w:color w:val="auto"/>
              </w:rPr>
            </w:pPr>
            <w:r>
              <w:rPr>
                <w:rFonts w:ascii="Arial" w:cs="Arial" w:eastAsia="Arial" w:hAnsi="Arial"/>
                <w:sz w:val="14"/>
                <w:szCs w:val="14"/>
                <w:b w:val="1"/>
                <w:bCs w:val="1"/>
                <w:color w:val="auto"/>
                <w:w w:val="91"/>
              </w:rPr>
              <w:t>Adjustments</w:t>
            </w:r>
          </w:p>
        </w:tc>
        <w:tc>
          <w:tcPr>
            <w:tcW w:w="10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6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ASC 605</w:t>
            </w:r>
          </w:p>
        </w:tc>
        <w:tc>
          <w:tcPr>
            <w:tcW w:w="19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VAT</w:t>
            </w:r>
          </w:p>
        </w:tc>
        <w:tc>
          <w:tcPr>
            <w:tcW w:w="1060" w:type="dxa"/>
            <w:vAlign w:val="bottom"/>
          </w:tcPr>
          <w:p>
            <w:pPr>
              <w:jc w:val="right"/>
              <w:ind w:right="377"/>
              <w:spacing w:after="0" w:line="119" w:lineRule="exact"/>
              <w:rPr>
                <w:sz w:val="20"/>
                <w:szCs w:val="20"/>
                <w:color w:val="auto"/>
              </w:rPr>
            </w:pPr>
            <w:r>
              <w:rPr>
                <w:rFonts w:ascii="Arial" w:cs="Arial" w:eastAsia="Arial" w:hAnsi="Arial"/>
                <w:sz w:val="13"/>
                <w:szCs w:val="13"/>
                <w:b w:val="1"/>
                <w:bCs w:val="1"/>
                <w:color w:val="auto"/>
              </w:rPr>
              <w:t>Barter</w:t>
            </w:r>
          </w:p>
        </w:tc>
        <w:tc>
          <w:tcPr>
            <w:tcW w:w="280" w:type="dxa"/>
            <w:vAlign w:val="bottom"/>
          </w:tcPr>
          <w:p>
            <w:pPr>
              <w:spacing w:after="0"/>
              <w:rPr>
                <w:sz w:val="10"/>
                <w:szCs w:val="10"/>
                <w:color w:val="auto"/>
              </w:rPr>
            </w:pP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Transaction</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 In thousands)</w:t>
            </w: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1,703,644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(95,470)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110,344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1,718,518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Costs and expenses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373,118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(95,470)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277,648</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418,004</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109,420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527,424</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608,340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77"/>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510"/>
        <w:spacing w:after="0" w:line="302" w:lineRule="auto"/>
        <w:rPr>
          <w:sz w:val="20"/>
          <w:szCs w:val="20"/>
          <w:color w:val="auto"/>
        </w:rPr>
      </w:pPr>
      <w:r>
        <w:rPr>
          <w:rFonts w:ascii="Arial" w:cs="Arial" w:eastAsia="Arial" w:hAnsi="Arial"/>
          <w:sz w:val="16"/>
          <w:szCs w:val="16"/>
          <w:color w:val="auto"/>
        </w:rPr>
        <w:t>Under ASC 606, r</w:t>
      </w:r>
      <w:r>
        <w:rPr>
          <w:rFonts w:ascii="Arial" w:cs="Arial" w:eastAsia="Arial" w:hAnsi="Arial"/>
          <w:sz w:val="15"/>
          <w:szCs w:val="15"/>
          <w:color w:val="auto"/>
        </w:rPr>
        <w:t>evenues are recognized when control of the promised goods or services is transferred to customers, in an amount that reflects the</w:t>
      </w:r>
      <w:r>
        <w:rPr>
          <w:rFonts w:ascii="Arial" w:cs="Arial" w:eastAsia="Arial" w:hAnsi="Arial"/>
          <w:sz w:val="16"/>
          <w:szCs w:val="16"/>
          <w:color w:val="auto"/>
        </w:rPr>
        <w:t xml:space="preserve"> </w:t>
      </w:r>
      <w:r>
        <w:rPr>
          <w:rFonts w:ascii="Arial" w:cs="Arial" w:eastAsia="Arial" w:hAnsi="Arial"/>
          <w:sz w:val="15"/>
          <w:szCs w:val="15"/>
          <w:color w:val="auto"/>
        </w:rPr>
        <w:t xml:space="preserve">consideration </w:t>
      </w:r>
      <w:r>
        <w:rPr>
          <w:rFonts w:ascii="Arial" w:cs="Arial" w:eastAsia="Arial" w:hAnsi="Arial"/>
          <w:sz w:val="16"/>
          <w:szCs w:val="16"/>
          <w:color w:val="auto"/>
        </w:rPr>
        <w:t>the Group expects to be entitled to in exchange for those goods or services. The Group identifies its contracts with customers and all</w:t>
      </w:r>
      <w:r>
        <w:rPr>
          <w:rFonts w:ascii="Arial" w:cs="Arial" w:eastAsia="Arial" w:hAnsi="Arial"/>
          <w:sz w:val="15"/>
          <w:szCs w:val="15"/>
          <w:color w:val="auto"/>
        </w:rPr>
        <w:t xml:space="preserve"> </w:t>
      </w:r>
      <w:r>
        <w:rPr>
          <w:rFonts w:ascii="Arial" w:cs="Arial" w:eastAsia="Arial" w:hAnsi="Arial"/>
          <w:sz w:val="16"/>
          <w:szCs w:val="16"/>
          <w:color w:val="auto"/>
        </w:rPr>
        <w:t>performance obligations within those contracts. The Group then determines the transaction price and allocates the transaction price to the performance obligations within the Group’s contracts with customers, recognizing revenue when, or as, the Group satisfies its performance obligations.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506"/>
        <w:spacing w:after="0" w:line="276" w:lineRule="auto"/>
        <w:rPr>
          <w:sz w:val="20"/>
          <w:szCs w:val="20"/>
          <w:color w:val="auto"/>
        </w:rPr>
      </w:pPr>
      <w:r>
        <w:rPr>
          <w:rFonts w:ascii="Arial" w:cs="Arial" w:eastAsia="Arial" w:hAnsi="Arial"/>
          <w:sz w:val="17"/>
          <w:szCs w:val="17"/>
          <w:color w:val="auto"/>
        </w:rPr>
        <w:t>The Group does not believe that significant management judgments are involved in revenue recognition, but the amount and timing of the Group’s revenues could be different for any period if management made different judgments. Certain customers may receive sales rebates, which are accounted for as variable consideration. The Group estimates annual expected revenue volume of each individual agent with reference to their historical results. The Group recognizes revenue for the amount of fees it receives from its advertisers, after deducting estimated sales rebates and net of value-added tax (“VAT”) under ASC 606. The Group believes that there will not be significant changes to its estimates of variable consideration.</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disaggregated by revenue source for the years ended December 31, 2016, 2017 and 2018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marketing revenues</w:t>
            </w:r>
          </w:p>
        </w:tc>
        <w:tc>
          <w:tcPr>
            <w:tcW w:w="264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570,982</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996,745</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1,499,180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Value-added services revenues</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84,818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153,309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219,338</w:t>
            </w:r>
          </w:p>
        </w:tc>
      </w:tr>
      <w:tr>
        <w:trPr>
          <w:trHeight w:val="210"/>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655,800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1,718,518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06"/>
        <w:spacing w:after="0" w:line="291" w:lineRule="auto"/>
        <w:rPr>
          <w:sz w:val="20"/>
          <w:szCs w:val="20"/>
          <w:color w:val="auto"/>
        </w:rPr>
      </w:pPr>
      <w:r>
        <w:rPr>
          <w:rFonts w:ascii="Arial" w:cs="Arial" w:eastAsia="Arial" w:hAnsi="Arial"/>
          <w:sz w:val="16"/>
          <w:szCs w:val="16"/>
          <w:color w:val="auto"/>
        </w:rPr>
        <w:t>The Group enters into contracts with its customers, which may give rise to contract assets (unbilled revenue) or contract liabilities (deferred revenue). The payment terms and conditions within the Group’s contracts vary by the type and location of its customers and products or services purchased, the substantial majority of which are due in less than one year. No material impact on the contract assets arose from the new guidance of revenue recognition. Deferred revenue related to unsatisfied performance obligations at the end of the period mainly consists of the unamortized balance of customer advance of advertising and marketing services. The deferred revenues are amortized on a straight-line basis through the service period. Due to the generally short-term duration of the contracts, the majority of the performance obligations are satisfied in the following reporting period. The amount of revenue recognized that was included in the deferred revenue balance at the beginning of the period was $67.2 million for the year ended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Group generally expenses sales commissions when incurred because the amortization period is generally one year or less. These costs are recorded within sales and marketing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marketing revenues</w:t>
      </w:r>
    </w:p>
    <w:p>
      <w:pPr>
        <w:spacing w:after="0" w:line="22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Advertising and marketing revenues are derived principally from online advertising, including social display ads and promoted marketing. Social display ad arrangements allow customers to place advertisements on particular areas of the Group’s platform or website in particular formats and over particular periods of time, which is typically no more than three months. The Group enters into cost per mille (“CPM”), or cost per thousand impressions, advertising arrangements with the customers, under which the Group recognizes revenues based on the number of times that the advertisement has been displayed. The Group also enters into cost per day (“CPD”) advertising arrangements with customers, under which the Group recognizes revenues ratably over the contract periods. Promoted marketing arrangements are primarily priced based on CPM. Under the CPM model, customers are obligated to pay when the advertisement is displayed.</w:t>
      </w:r>
    </w:p>
    <w:p>
      <w:pPr>
        <w:spacing w:after="0" w:line="189" w:lineRule="exact"/>
        <w:rPr>
          <w:sz w:val="20"/>
          <w:szCs w:val="20"/>
          <w:color w:val="auto"/>
        </w:rPr>
      </w:pPr>
    </w:p>
    <w:p>
      <w:pPr>
        <w:ind w:right="460" w:firstLine="510"/>
        <w:spacing w:after="0" w:line="302" w:lineRule="auto"/>
        <w:rPr>
          <w:sz w:val="20"/>
          <w:szCs w:val="20"/>
          <w:color w:val="auto"/>
        </w:rPr>
      </w:pPr>
      <w:r>
        <w:rPr>
          <w:rFonts w:ascii="Arial" w:cs="Arial" w:eastAsia="Arial" w:hAnsi="Arial"/>
          <w:sz w:val="16"/>
          <w:szCs w:val="16"/>
          <w:color w:val="auto"/>
        </w:rPr>
        <w:t>The Group’s majority revenue transactions are based on standard business terms and conditions, which are recognized net of agency rebates. The agency rebates are accounted for as variable consideration and are estimated during interim periods based on estimated annual revenue volume of each individual agent with reference to their historical results, which involves accounting judgment. The Group believes its estimation approach in variable consideration results in revenue recognition in a manner consistent with the underlying economics of the transaction.</w:t>
      </w:r>
    </w:p>
    <w:p>
      <w:pPr>
        <w:spacing w:after="0" w:line="15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Group’s contracts with customers may include multiple performance obligations, which primarily consist of combination of service to allow customers to place advertisements on different areas of its platform or website. For such arrangements, advertising arrangements involving multiple deliverables are broken down into single-element arrangements based on their stand-alone selling price for revenue recognition purposes. The estimation of stand-alone selling price involves significant judgment, especially for the deliverables that have not been sold separately. For those deliverables, the Group determines best estimate of the stand-alone selling price by taking into consideration of the pricing of advertising areas of the Group’s platform or website with similar popularities and advertisements with similar formats and quoted prices from competitors and other market conditions. The Group believes the estimation approach in stand-alone selling price and allocation of the transaction price on a relative stand-alone selling price to each performance obligation results in revenue recognition in a manner consistent with the underlying economics of the transaction and the allocation principle included in ASC 606. Revenues recognized with reference to best estimation of selling price were immaterial for all periods presented. Most of such contracts have all performance obligations completed within one year. Changes in judgments on these assumptions and estimates could materially impact the timing or amount of revenue recognition.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60" w:firstLine="510"/>
        <w:spacing w:after="0" w:line="264" w:lineRule="auto"/>
        <w:rPr>
          <w:sz w:val="20"/>
          <w:szCs w:val="20"/>
          <w:color w:val="auto"/>
        </w:rPr>
      </w:pPr>
      <w:r>
        <w:rPr>
          <w:rFonts w:ascii="Arial" w:cs="Arial" w:eastAsia="Arial" w:hAnsi="Arial"/>
          <w:sz w:val="18"/>
          <w:szCs w:val="18"/>
          <w:color w:val="auto"/>
        </w:rPr>
        <w:t>Revenues from barter transactions are recognized during the period in which the advertisements are displayed on the Group’s properties. Barter transactions in which physical goods or services are received in exchange for advertising services are recorded based on the fair values of the goods or services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Value-added services revenues</w:t>
      </w:r>
    </w:p>
    <w:p>
      <w:pPr>
        <w:spacing w:after="0" w:line="225"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18"/>
          <w:szCs w:val="18"/>
          <w:color w:val="auto"/>
        </w:rPr>
        <w:t>The Group generates value-added services revenues principally from fee-based services, mainly including VIP membership, live streaming, and game-related services. Revenues from these services are recognized when control of the promised services is transferred to customers, in an amount that reflects the consideration the Group expects to be entitled to in exchange for those services.</w:t>
      </w:r>
    </w:p>
    <w:p>
      <w:pPr>
        <w:spacing w:after="0" w:line="181" w:lineRule="exact"/>
        <w:rPr>
          <w:sz w:val="20"/>
          <w:szCs w:val="20"/>
          <w:color w:val="auto"/>
        </w:rPr>
      </w:pPr>
    </w:p>
    <w:p>
      <w:pPr>
        <w:jc w:val="both"/>
        <w:ind w:right="440" w:firstLine="510"/>
        <w:spacing w:after="0" w:line="264" w:lineRule="auto"/>
        <w:rPr>
          <w:sz w:val="20"/>
          <w:szCs w:val="20"/>
          <w:color w:val="auto"/>
        </w:rPr>
      </w:pPr>
      <w:r>
        <w:rPr>
          <w:rFonts w:ascii="Arial" w:cs="Arial" w:eastAsia="Arial" w:hAnsi="Arial"/>
          <w:sz w:val="18"/>
          <w:szCs w:val="18"/>
          <w:i w:val="1"/>
          <w:iCs w:val="1"/>
          <w:color w:val="auto"/>
        </w:rPr>
        <w:t xml:space="preserve">VIP membership. </w:t>
      </w:r>
      <w:r>
        <w:rPr>
          <w:rFonts w:ascii="Arial" w:cs="Arial" w:eastAsia="Arial" w:hAnsi="Arial"/>
          <w:sz w:val="18"/>
          <w:szCs w:val="18"/>
          <w:color w:val="auto"/>
        </w:rPr>
        <w:t>VIP membership is a service package consisting of one performance obligation of providing user certification and preferential</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such as daily priority listings and higher quota for following user accounts. Prepaid VIP membership fees are recorded as deferred revenue and recognized as revenue ratably over the contract period of the membership service.</w:t>
      </w:r>
    </w:p>
    <w:p>
      <w:pPr>
        <w:spacing w:after="0" w:line="18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i w:val="1"/>
          <w:iCs w:val="1"/>
          <w:color w:val="auto"/>
        </w:rPr>
        <w:t xml:space="preserve">Live streaming. </w:t>
      </w:r>
      <w:r>
        <w:rPr>
          <w:rFonts w:ascii="Arial" w:cs="Arial" w:eastAsia="Arial" w:hAnsi="Arial"/>
          <w:sz w:val="18"/>
          <w:szCs w:val="18"/>
          <w:color w:val="auto"/>
        </w:rPr>
        <w:t>Live streaming generates revenue from sales of virtual items on the Yizhibo platform. Users can access the platform and view the live</w:t>
      </w:r>
      <w:r>
        <w:rPr>
          <w:rFonts w:ascii="Arial" w:cs="Arial" w:eastAsia="Arial" w:hAnsi="Arial"/>
          <w:sz w:val="18"/>
          <w:szCs w:val="18"/>
          <w:i w:val="1"/>
          <w:iCs w:val="1"/>
          <w:color w:val="auto"/>
        </w:rPr>
        <w:t xml:space="preserve"> </w:t>
      </w:r>
      <w:r>
        <w:rPr>
          <w:rFonts w:ascii="Arial" w:cs="Arial" w:eastAsia="Arial" w:hAnsi="Arial"/>
          <w:sz w:val="18"/>
          <w:szCs w:val="18"/>
          <w:color w:val="auto"/>
        </w:rPr>
        <w:t>streaming content and interact with the broadcasters for free.</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Group designs, creates and offers various virtual items for sales to users with pre-determined selling price. Each virtual item is considered as a distinctive performance obligation. Sales proceeds are recorded as deferred revenue and recognized as revenue based on the consumption of the virtual items. Users can purchase and present virtual items to broadcasters to show support for their favorite ones. Under the arrangements with broadcasters or broadcaster agencies, the Group shares with them a portion of the revenues derived from the consumption of virtual items. Revenues derived from the sale of virtual items are recorded on a gross basis as the Group has determined that it acts as the principal to fulfill all obligations related to the live streaming services. The portion paid to broadcasters and/or broadcaster agencies is recognized as cost of revenues. The Group does not have further obligations to the user after the virtual items are consumed.</w:t>
      </w:r>
    </w:p>
    <w:p>
      <w:pPr>
        <w:spacing w:after="0" w:line="18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i w:val="1"/>
          <w:iCs w:val="1"/>
          <w:color w:val="auto"/>
        </w:rPr>
        <w:t xml:space="preserve">Game-related services. </w:t>
      </w:r>
      <w:r>
        <w:rPr>
          <w:rFonts w:ascii="Arial" w:cs="Arial" w:eastAsia="Arial" w:hAnsi="Arial"/>
          <w:sz w:val="17"/>
          <w:szCs w:val="17"/>
          <w:color w:val="auto"/>
        </w:rPr>
        <w:t>Game-related service revenues are mostly generated from the purchase of virtual items by game players through the Group’s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Each virtual item is considered as a distinctive performance obligation. The Group collects payments from the game players in connection with the sale of virtual currency, which can be used to purchase virtual items in online games. Revenue is recorded on a gross basis for games that the Group is acting as the principal in fulfilling all obligations related to the games and revenue is recorded net of predetermined revenue sharing with the game developers for games in which the Group is not acting as the principal in fulfilling all obligations. Sales of virtual currencies are recognized as revenues over the estimated consumption period of in-game virtual items, which is typically from a few days to one month. Virtual currency sold for game-related services in excess of recognized revenues is recorded as deferred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 xml:space="preserve">Cost of revenues consists mainly of costs associated with the maintenance of platform, which primarily include bandwidth and other infrastructure costs, labor cost and turnover taxes levied on the revenues, part of which were allocated from SINA (see Note 1 </w:t>
      </w:r>
      <w:r>
        <w:rPr>
          <w:rFonts w:ascii="Arial" w:cs="Arial" w:eastAsia="Arial" w:hAnsi="Arial"/>
          <w:sz w:val="16"/>
          <w:szCs w:val="16"/>
          <w:i w:val="1"/>
          <w:iCs w:val="1"/>
          <w:color w:val="auto"/>
        </w:rPr>
        <w:t>Reorganization</w:t>
      </w:r>
      <w:r>
        <w:rPr>
          <w:rFonts w:ascii="Arial" w:cs="Arial" w:eastAsia="Arial" w:hAnsi="Arial"/>
          <w:sz w:val="16"/>
          <w:szCs w:val="16"/>
          <w:color w:val="auto"/>
        </w:rPr>
        <w:t xml:space="preserve"> ). The Group presents taxes assessed by a governmental authority that are both imposed on and concurrent with a specific revenue-producing transaction on a gross basis in the financial statements. The Group is subject to 6.7% Value-Added Tax (“VAT”) and surcharges for its revenues and an additional 3% cultural business construction fees for its advertising and marketing revenues. Pursuant to the adoption of ASC 606 effectively beginning January 1, 2018, the new guidance of revenue recognition requires the presentation of Value-Added Tax (“VAT”) recognized in revenue from “gross” to “net”, which results in equal decrease of revenues and cost of revenues. The total amount of such taxes on its advertising and marketing revenues for the years ended December 31, 2016, 2017 and 2018 were $49.9 million, $90.6 million and $52.9 million, respectively, with VAT not included in the cost of revenues for the year ended December 31,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Sales and marketing expenses consist mainly of online and offline advertising and promotional expenses, salary, benefits and commission expenses, and facility expenses. Advertising and promotional expenses generally represent the expenses of promotions of corporate image and product marketing. The Group expenses all advertising and promotional expenses as incurred and classifies these expenses under sales and marketing expenses. Pursuant to the adoption of ASC 606 effectively beginning January 1, 2018, the new guidance of revenue recognition requires the recognition of revenues and expenses at fair value for advertising barter transactions, which mainly results in the increase of revenue and advertising expenses. For the years ended December 31, 2016, 2017 and 2018, the advertising and promotional expenses were $92.2 million, $200.6 million and $428.8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225"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 xml:space="preserve">Product development expenses consist mainly of payroll-related expenses and infrastructure costs incurred for enhancement to and maintenance of the Group’s platform, as well as costs associated with new product development and product enhancements, part of which were allocated from SINA (see Note 1 </w:t>
      </w:r>
      <w:r>
        <w:rPr>
          <w:rFonts w:ascii="Arial" w:cs="Arial" w:eastAsia="Arial" w:hAnsi="Arial"/>
          <w:sz w:val="17"/>
          <w:szCs w:val="17"/>
          <w:i w:val="1"/>
          <w:iCs w:val="1"/>
          <w:color w:val="auto"/>
        </w:rPr>
        <w:t xml:space="preserve">Reorganization </w:t>
      </w:r>
      <w:r>
        <w:rPr>
          <w:rFonts w:ascii="Arial" w:cs="Arial" w:eastAsia="Arial" w:hAnsi="Arial"/>
          <w:sz w:val="17"/>
          <w:szCs w:val="17"/>
          <w:color w:val="auto"/>
        </w:rPr>
        <w:t>). The Group expenses all costs incurred for the planning and post implementation phases of development and costs associated with repair or</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of the existing site or the development of platform content. Since inception, the amount of costs qualifying for capitalization has been immaterial and, as a result, all product development costs have been expensed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100" w:firstLine="510"/>
        <w:spacing w:after="0" w:line="264" w:lineRule="auto"/>
        <w:rPr>
          <w:sz w:val="20"/>
          <w:szCs w:val="20"/>
          <w:color w:val="auto"/>
        </w:rPr>
      </w:pPr>
      <w:r>
        <w:rPr>
          <w:rFonts w:ascii="Arial" w:cs="Arial" w:eastAsia="Arial" w:hAnsi="Arial"/>
          <w:sz w:val="18"/>
          <w:szCs w:val="18"/>
          <w:color w:val="auto"/>
        </w:rPr>
        <w:t>All stock-based awards to employees and directors, such as stock options and restricted share units (“RSUs”), are measured at the grant date based on the fair value of the awards. Stock-based compensation, net of forfeitures, is recognized as expenses on a straight-line basis over the requisite service period, which is the vesting period.</w:t>
      </w:r>
    </w:p>
    <w:p>
      <w:pPr>
        <w:spacing w:after="0" w:line="181"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The Group uses the Black-Scholes option pricing model to estimate the fair value of stock options. The determination of estimated fair value of stock-based payment awards on the grant date using an option pricing model is affected by the fair value of the Company’s ordinary shares as well as assumptions regarding a number of complex and subjective variables. These variables include the expected value volatility of the Company over the expected term of the awards, actual and projected employee stock option exercise behaviors, a risk-free interest rate and expected dividends, if any. Options granted generally vest over four years.</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Group recognizes the estimated compensation cost of restricted share units based on the fair value of its ordinary shares on the date of the grant. The Group recognizes the compensation cost, net of estimated forfeitures, over a vesting term of generally four years for service-based restricted share units. The Group also recognizes the compensation cost of performance-based restricted share units, net of estimated forfeitures, if it is probable that the performance condition will be achieved at the end of each reporting period.</w:t>
      </w:r>
    </w:p>
    <w:p>
      <w:pPr>
        <w:spacing w:after="0" w:line="187" w:lineRule="exact"/>
        <w:rPr>
          <w:sz w:val="20"/>
          <w:szCs w:val="20"/>
          <w:color w:val="auto"/>
        </w:rPr>
      </w:pPr>
    </w:p>
    <w:p>
      <w:pPr>
        <w:jc w:val="both"/>
        <w:ind w:right="480" w:firstLine="510"/>
        <w:spacing w:after="0" w:line="264" w:lineRule="auto"/>
        <w:rPr>
          <w:sz w:val="20"/>
          <w:szCs w:val="20"/>
          <w:color w:val="auto"/>
        </w:rPr>
      </w:pPr>
      <w:r>
        <w:rPr>
          <w:rFonts w:ascii="Arial" w:cs="Arial" w:eastAsia="Arial" w:hAnsi="Arial"/>
          <w:sz w:val="18"/>
          <w:szCs w:val="18"/>
          <w:color w:val="auto"/>
        </w:rPr>
        <w:t xml:space="preserve">Forfeitures are estimated at the time of grant and revised in subsequent periods if actual forfeitures differ from those estimates. The Group uses historical data to estimate pre-vesting option and records stock-based compensation expense only for those awards that are expected to vest. See Note 6 </w:t>
      </w: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for further discussion on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Income taxes are accounted for using the asset and liability approach. Under this approach, income tax expense is recognized for the amount of taxes payable or refundable for the current year. In addition, deferred tax assets and liabilities are recognized for expected future tax consequences of temporary differences between the financial reporting and tax bases of assets and liabilities, and for operating losses and tax credit carry forwards. The Group records a valuation allowance to reduce deferred tax assets to an amount for which realization is more likely than not.</w:t>
      </w:r>
    </w:p>
    <w:p>
      <w:pPr>
        <w:spacing w:after="0" w:line="17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To assess uncertain tax positions, the Group applies a more likely than not threshold and a two-step approach for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 xml:space="preserve">The Group leases office space under operating lease agreements with initial lease terms up to five and a half years. Rental expense is recognized from the date of initial possession of the leased property on a straight-line basis over the term of the lease, part of which was allocated from SINA (see Note 1 </w:t>
      </w:r>
      <w:r>
        <w:rPr>
          <w:rFonts w:ascii="Arial" w:cs="Arial" w:eastAsia="Arial" w:hAnsi="Arial"/>
          <w:sz w:val="17"/>
          <w:szCs w:val="17"/>
          <w:i w:val="1"/>
          <w:iCs w:val="1"/>
          <w:color w:val="auto"/>
        </w:rPr>
        <w:t xml:space="preserve">Reorganization </w:t>
      </w:r>
      <w:r>
        <w:rPr>
          <w:rFonts w:ascii="Arial" w:cs="Arial" w:eastAsia="Arial" w:hAnsi="Arial"/>
          <w:sz w:val="17"/>
          <w:szCs w:val="17"/>
          <w:color w:val="auto"/>
        </w:rPr>
        <w:t>). Certain lease agreements contain rent holidays, which are recognized on a straight-line basis over the lease term. Lease renewal periods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on a lease-by-lease basis and are generally not included in the initial lease terms. The allocated rental expenses from SINA for the years ended December 31, 2016, 2017 and 2018, were $3.9 million, $4.5 million and $4.9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Group considers all highly liquid investments with original maturities of three months or less as cash equivalents. Cash equivalents are comprised of investments in time deposits that mature within three months stated at cost plus accrued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allowances for doubtful accounts</w:t>
      </w:r>
    </w:p>
    <w:p>
      <w:pPr>
        <w:spacing w:after="0" w:line="22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Accounts receivable are recorded and carried at the original invoiced amount less an allowance for any potential uncollectible amounts. The Group maintains an allowance for doubtful accounts which reflects its best estimate of amounts that will not be collected. The Group determines the allowance for doubtful accounts based on a historical, rolling average, bad debt rate in the prior period and other factors, such as credit-worthiness of the customers and the age of the receivable balances. The Group also provides specific provisions for bad debts when facts and circumstances indicate that the receivable is unlikely to be collected. If the financial condition of the Group’s customers were to deteriorate, resulting in an impairment of their ability to make payments, more bad debt allowances may be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All financial assets and liabilities are recognized or disclosed at fair value in the consolidated financial statements on a recurring basis.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8"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Group measures the equity method investments at fair value on a non-recurring basis only if an impairment charge were to be recognized. For those investments without readily determinable fair value, the Group measures them at fair value when observable price changes are identified or impairment charge was recognized. The fair values of the Group’s privately held investments as disclosed are determined based on the discounted cash flow model using the discount curve of market interest rates or based on the similar transaction price in the market directly. The fair values of the Group’s long-term investments in the equity securities of publicly listed companies are measured using quoted market prices. The Group’s non-financial assets, such as intangible assets, goodwill and fixed assets, would be measured at fair value only if they were determined to be impaired.</w:t>
      </w:r>
    </w:p>
    <w:p>
      <w:pPr>
        <w:spacing w:after="0" w:line="178"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66" w:lineRule="exact"/>
        <w:rPr>
          <w:sz w:val="20"/>
          <w:szCs w:val="20"/>
          <w:color w:val="auto"/>
        </w:rPr>
      </w:pPr>
    </w:p>
    <w:p>
      <w:pPr>
        <w:ind w:left="1120" w:hanging="518"/>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225" w:lineRule="exact"/>
        <w:rPr>
          <w:rFonts w:ascii="Arial" w:cs="Arial" w:eastAsia="Arial" w:hAnsi="Arial"/>
          <w:sz w:val="18"/>
          <w:szCs w:val="18"/>
          <w:color w:val="auto"/>
        </w:rPr>
      </w:pPr>
    </w:p>
    <w:p>
      <w:pPr>
        <w:ind w:left="1160" w:hanging="558"/>
        <w:spacing w:after="0" w:line="279" w:lineRule="auto"/>
        <w:tabs>
          <w:tab w:leader="none" w:pos="112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1" w:lineRule="exact"/>
        <w:rPr>
          <w:rFonts w:ascii="Arial" w:cs="Arial" w:eastAsia="Arial" w:hAnsi="Arial"/>
          <w:sz w:val="17"/>
          <w:szCs w:val="17"/>
          <w:color w:val="auto"/>
        </w:rPr>
      </w:pPr>
    </w:p>
    <w:p>
      <w:pPr>
        <w:ind w:left="1160" w:right="820" w:hanging="558"/>
        <w:spacing w:after="0" w:line="277" w:lineRule="auto"/>
        <w:tabs>
          <w:tab w:leader="none" w:pos="112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70"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 xml:space="preserve">The carrying amount of cash and cash equivalents, short-term investments, accounts receivable due from third parties, accounts receivable due from Alibaba, accounts receivable due from other related parties, amount due from/to SINA, accounts payable, accrued and other liabilities approximates fair value because of their short-term nature. See Note 14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additional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investments</w:t>
      </w:r>
    </w:p>
    <w:p>
      <w:pPr>
        <w:spacing w:after="0" w:line="225" w:lineRule="exact"/>
        <w:rPr>
          <w:sz w:val="20"/>
          <w:szCs w:val="20"/>
          <w:color w:val="auto"/>
        </w:rPr>
      </w:pPr>
    </w:p>
    <w:p>
      <w:pPr>
        <w:ind w:right="60" w:firstLine="510"/>
        <w:spacing w:after="0" w:line="264" w:lineRule="auto"/>
        <w:rPr>
          <w:sz w:val="20"/>
          <w:szCs w:val="20"/>
          <w:color w:val="auto"/>
        </w:rPr>
      </w:pPr>
      <w:r>
        <w:rPr>
          <w:rFonts w:ascii="Arial" w:cs="Arial" w:eastAsia="Arial" w:hAnsi="Arial"/>
          <w:sz w:val="18"/>
          <w:szCs w:val="18"/>
          <w:color w:val="auto"/>
        </w:rPr>
        <w:t>Long-term investments are comprised of investments in publicly traded companies, privately held companies, and limited partnerships. The Group uses the equity method to account for ordinary-share-equivalent equity investments over which it has significant influence but does not own a majority equity interest or otherwise control.</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Adoption of ASU 2016-01 and Its Implication</w:t>
      </w:r>
    </w:p>
    <w:p>
      <w:pPr>
        <w:spacing w:after="0" w:line="225"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Before the adoption of ASU 2016-01 in 2018, the Group used cost method to account for equity investments over which the Group does not have significant influence, or the investments in which the Group holds equity shares that are not common shares/in-substance common share without readily determinable fair value. For marketable equity securities, the Group reported them at fair value and accounted for them as available-for-sale (“AFS”) securities under long-term investments.</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After adopting ASU 2016-01 on January 1, 2018, the Group measures investments in equity securities, other than equity method investments, at fair value through earnings. For those investments without readily determinable fair values, the Group elects to record these investments at cost, less impairment, and plus or minus subsequent adjustments for observable price changes. Under this measurement alternative, changes in the carrying value of the investments will be recognized in consolidated statement of comprehensive income, whenever there are observable price changes in orderly transactions for the identical or similar investment of the same issuer.</w:t>
      </w:r>
    </w:p>
    <w:p>
      <w:pPr>
        <w:spacing w:after="0" w:line="188"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The marketable equity securities were reclassified as investments with readily determinable fair values under the ASU 2016-01. There will no longer be an available-for-sale classification for equity securities. The cumulative effects of applying the guidance to the Group’s consolidated balance sheets were the reclassification of unrealized loss of $1.0 million from accumulated other comprehensive income to retained earnings as of January 1, 2018. (see Note 4 for further information)</w:t>
      </w:r>
    </w:p>
    <w:p>
      <w:pPr>
        <w:spacing w:after="0" w:line="18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Pursuant to ASC 321, for equity investments measured at fair value with changes in fair value recorded in earnings, the Group does not assess whether those securities are impaired. For those equity investments that the Group elects to use the measurement alternative, the Group makes a qualitative assessment of whether the investment is impaired at each reporting date. If a qualitative assessment indicates that the investment is impaired, the entity has to estimate the investment’s fair value in accordance with the principles of ASC 820. If the fair value is less than the investment’s carrying value, the entity has to recognize an impairment loss in net income equal to the difference between the carrying value and fair value. Prior to 2018, these securities were classified as available-for-sale securities and measured and recorded at fair value with unrealized changes in fair value recorded through other comprehensive income.</w:t>
      </w:r>
    </w:p>
    <w:p>
      <w:pPr>
        <w:spacing w:after="0" w:line="165"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Investments in entities which the Group can exercise significant influence and holds an investment in voting common shares or in-substance common shares (or both) of the investee but does not own a majority equity interest or control are accounted for using the equity method of accounting in accordance with ASC topic 323 (“ASC 323”), Investment -— Equity Method and Joint Ventures.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16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Group recorded an impairment charge of $36.4 million, $4.7 million and $23.6 million to the carrying value of long-term investments for the years ended December 31, 2016, 2017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Business combinations are recorded using the purchase method of accounting, and the cost of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the (i) the total of consideration paid, fair value of the non-controlling interests and acquisition date fair value of any previously held equity interest in the subsidiary acquired over (ii) the fair value of the identifiable net assets of the subsidiary acquired is recorded as goodwill. If the consideration of acquisition is less than the fair value of the net assets of the subsidiary acquired, the difference is recognized directly in the consolidated statements of comprehensive income.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140" w:firstLine="510"/>
        <w:spacing w:after="0" w:line="302" w:lineRule="auto"/>
        <w:rPr>
          <w:sz w:val="20"/>
          <w:szCs w:val="20"/>
          <w:color w:val="auto"/>
        </w:rPr>
      </w:pPr>
      <w:r>
        <w:rPr>
          <w:rFonts w:ascii="Arial" w:cs="Arial" w:eastAsia="Arial" w:hAnsi="Arial"/>
          <w:sz w:val="16"/>
          <w:szCs w:val="16"/>
          <w:color w:val="auto"/>
        </w:rPr>
        <w:t>Property and equipment are stated at cost less accumulated depreciation, amortization and impairment, if any. Depreciation is computed using the straight-line method over the estimated useful lives of the assets, generally from three to four years for computers and equipment and five years for furniture and fixtures. Leasehold improvements are amortized over the shorter of the estimated useful lives of the assets or the remaining lease term. Depreciation expenses were $13.3 million, $14.7 million and $18.5 million for the years ended December 31, 2016, 2017 and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Goodwill represents the excess of the purchase price over the fair value of the identifiable assets and liabilities acquired as a result of the Group’s acquisitions of interests in its subsidiaries and consolidated VIE. The Group assesses goodwill for impairment in accordance with ASC Subtopic 350-20 (“ASC 350-20”), Intangibles - Goodwill and Other: Goodwill, which requires that goodwill be tested for impairment at the reporting unit level at least annually and more frequently upon the occurrence of certain events, as defined by ASC 350-20. US GAAP provides the option to apply the qualitative assessment first and then the quantitative assessment, if necessary, or to apply the quantitative assessment directly. The qualitative approach starts the goodwill impairment test by assessing qualitative factors, which by taking into consideration of macroeconomics, overall financial performance, industry and market conditions and the share price of the Group, to determine whether it is more likely than not that the fair value of a reporting unit is less than its carrying amount. If so, the quantitative impairment test is performed; otherwise, no further testing is required. When the Group performs the quantitative impairment test, the Group firstly determines whether it is more likely than not that the fair value of a reporting unit is less than its carrying amount. For those reporting units where it is determined that it is more likely than not that their fair values are less than the units’ carrying amounts, the Group performs the second step of a two-step quantitative goodwill impairment test to allocate the fair value of reporting units to all of the assets and liabilities of that unit (including any unrecognized intangible assets) as if the reporting unit had been acquired in a business combination. Application of a goodwill impairment test requires significant management judgment, including the identification of reporting units, assigning assets and liabilities to reporting units, assigning goodwill to reporting units, and determining the fair value of each reporting unit.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225"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Intangible assets arising from acquisitions are recognized at fair value upon acquisition and amortized on a straight-line basis over their estimated useful lives, generally from five to ten years. Long-lived assets and certain identifiable intangible assets other than goodwill to be held and used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long-lived assets and certain identifiable intangible assets that management expects to hold or use is based on the amount by which the carrying value exceeds the fair value of the asset. Judgment is used in estimating future cash flows, determining appropriate discount rates and making other assumptions. Changes in these estimates and assumptions could materially affect the determination of the asset’s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The Group determines the appropriate accounting treatment of its convertible debt in accordance with the terms in relation to the conversion feature. After considering the impact of such features, the Group may account for such instrument as a liability in its entirety, or separate the instrument into debt and equity components following the respective guidance described under ASC 815 Derivatives and Hedging and ASC 470 Debt.</w:t>
      </w:r>
    </w:p>
    <w:p>
      <w:pPr>
        <w:spacing w:after="0" w:line="166"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debt discount, if any, together with related issuance cost are subsequently amortized as interest expense over the contractual life. The Group presented the issuance costs of debt as a direct deduction from the related debt during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225" w:lineRule="exact"/>
        <w:rPr>
          <w:sz w:val="20"/>
          <w:szCs w:val="20"/>
          <w:color w:val="auto"/>
        </w:rPr>
      </w:pPr>
    </w:p>
    <w:p>
      <w:pPr>
        <w:jc w:val="both"/>
        <w:ind w:right="80" w:firstLine="510"/>
        <w:spacing w:after="0" w:line="264" w:lineRule="auto"/>
        <w:rPr>
          <w:sz w:val="20"/>
          <w:szCs w:val="20"/>
          <w:color w:val="auto"/>
        </w:rPr>
      </w:pPr>
      <w:r>
        <w:rPr>
          <w:rFonts w:ascii="Arial" w:cs="Arial" w:eastAsia="Arial" w:hAnsi="Arial"/>
          <w:sz w:val="18"/>
          <w:szCs w:val="18"/>
          <w:color w:val="auto"/>
        </w:rPr>
        <w:t>Deferred revenues consist of contractual billings in excess of recognized revenue and payments received in advance of revenue recognition, which are mainly from the customer advance of the advertising and marketing services and the sales of the fee-based services, such as VIP membership, live streaming, and virtual currency or in-game virtual items sold for game related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For the Company’s majority-owned subsidiaries and VIE, non-controlling interests are recognized to reflect the portion of their equity that is not attributable, directly or indirectly, to the Company as the controlling shareholder. To reflect the economic interest held by non-controlling shareholders, net loss attributable to the non-controlling ordinary shareholders is recorded as non-controlling interests in the Company’s consolidated statements of comprehensive income. Non-controlling interests are classified as a separate line item in the equity section of the Company’s consolidated balance sheets and have been separately disclosed in the Company’s consolidated financial statements to distinguish the interests from that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120" w:firstLine="510"/>
        <w:spacing w:after="0" w:line="276" w:lineRule="auto"/>
        <w:rPr>
          <w:sz w:val="20"/>
          <w:szCs w:val="20"/>
          <w:color w:val="auto"/>
        </w:rPr>
      </w:pPr>
      <w:r>
        <w:rPr>
          <w:rFonts w:ascii="Arial" w:cs="Arial" w:eastAsia="Arial" w:hAnsi="Arial"/>
          <w:sz w:val="17"/>
          <w:szCs w:val="17"/>
          <w:color w:val="auto"/>
        </w:rPr>
        <w:t>The Company’s reporting currency and functional currency are the U.S. dollar. The Group’s operations in China and in international regions use their respective currencies as their functional currencies. The financial statements of these subsidiaries are translated into U.S. dollars using period-end rates of exchange for assets and liabilities and average rates of exchange in the period for revenues, costs and expenses. Translation gains and losses are recorded in accumulated other comprehensive income (loss) as a component of shareholders’ equity. Translation gains or losses are not released to net income unless the associated net investment has been sold, liquidated, or substantially liquidated.</w:t>
      </w:r>
    </w:p>
    <w:p>
      <w:pPr>
        <w:spacing w:after="0" w:line="17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Foreign currency transactions denominated in currencies other than the functional currency are translated into the functional currency using the exchange rate prevailing on the transactions dates. Monetary assets and liabilities denominated in foreign currencies are translated into the functional currency using the applicable exchange rates at the balance sheet dates. Net gains and losses resulting from foreign exchange transactions are included in interest and other income, net.</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Foreign currency translation adjustments included in the Group’s consolidated statements of comprehensive income for the years ended December 31, 2016, 2017, and 2018 were loss of $18.9 million, gain of $37.8 million, and loss of $60.3 million, respectively. Net foreign currency transaction gains or losses arise from transacting in a currency other than the functional currency of the entity and the amounts recorded were immaterial for each of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2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Basic net income per share is computed using the weighted average number of ordinary shares outstanding during the period. Options and RSUs are not considered outstanding in computation of basic earnings per share. Diluted net income per share is computed using the weighted average number of ordinary shares and potential ordinary shares outstanding during the period, which include options to purchase ordinary shares, restricted share units and conversion of the convertible debt. The computation of diluted net income per share does not assume conversion, exercise, or contingent issuance of securities that would have an anti-dilutive effect (i.e. an increase in earnings per share amounts or a decrease in loss per share amounts) on net income per share. The Group uses the two-class method to calculate net income per share though both classes share the same rights in dividends. Therefore, basic and diluted earnings per share are the same for both classes of ordinary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accordance with ASC 280, Segment Reporting, the Group’s chief operating decision maker (“CODM”), the Chief Executive Officer, reviews the consolidated results when making decisions about allocating resources and assessing performance of the Group as a whole. The Group currently operates and manages its business in two principal business segments globally—advertising and marketing services and value-added services. Information regarding the business segments provided to the Group’s CODM is at the revenue level and the Group currently does not allocate operating costs or assets to its segments, as its CODM does not use such information to allocate resources or evaluate the performance of the operating segments. As the Group’s long-lived assets are substantially all located in the PRC and substantially the Group’s revenues are derived from within the PRC, no geographical information is presented.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Financial instruments that potentially subject the Group to a concentration of credit risk consist primarily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short-term investments and accounts receivable. In addition, with the majority of its operations in China, the Group is subject to RMB currency risk and offshore remittance risk, both of which have been difficult to hedge and the Group has not done so. The Group limits its exposure to credit loss by depositing its cash and cash equivalents with financial institutions in the US, PRC and Hong Kong, which are among the largest and most respected with high ratings from internationally-recognized rating agencies, that management believes are of high credit quality. The Group periodically reviews these institutions’ reputations, track records and reported reserves.</w:t>
      </w:r>
    </w:p>
    <w:p>
      <w:pPr>
        <w:spacing w:after="0" w:line="193"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As of December 31, 2017 and 2018, the Group had $1.79 billion and $1.73 billion, respectively, in cash and bank time deposits (with terms generally up to twelve months) with large domestic banks in China. China promulgated a Bankruptcy Law that came into effect on June 1, 2007, which contains a separate article expressly stating that the State Council may promulgate implementation measures for the bankruptcy of Chinese banks based on the Bankruptcy Law. Under the Bankruptcy Law, a Chinese bank may go bankrupt. In addition, since China’s concession to WTO, foreign banks have been gradually permitted to operate in China and have become significant competitors to Chinese banks in many aspects, especially since the opening of RMB business to foreign banks in late 2006. Therefore, the risk of bankruptcy on Chinese banks in which the Group holds cash and bank deposits has increased. In the event that a Chinese bank that holds the Group’s deposits goes bankrupt, the Group is unlikely to claim its deposits back in full, since it is unlikely to be classified as a secured creditor to the bank under the PRC laws.</w:t>
      </w:r>
    </w:p>
    <w:p>
      <w:pPr>
        <w:spacing w:after="0" w:line="179" w:lineRule="exact"/>
        <w:rPr>
          <w:sz w:val="20"/>
          <w:szCs w:val="20"/>
          <w:color w:val="auto"/>
        </w:rPr>
      </w:pPr>
    </w:p>
    <w:p>
      <w:pPr>
        <w:ind w:right="60" w:firstLine="510"/>
        <w:spacing w:after="0" w:line="264" w:lineRule="auto"/>
        <w:rPr>
          <w:sz w:val="20"/>
          <w:szCs w:val="20"/>
          <w:color w:val="auto"/>
        </w:rPr>
      </w:pPr>
      <w:r>
        <w:rPr>
          <w:rFonts w:ascii="Arial" w:cs="Arial" w:eastAsia="Arial" w:hAnsi="Arial"/>
          <w:sz w:val="18"/>
          <w:szCs w:val="18"/>
          <w:color w:val="auto"/>
        </w:rPr>
        <w:t>Alibaba accounted for 9%, 7% and 7% of the Group’s revenues for the years ended December 31, 2016, 2017 and 2018, respectively. No other customer nor advertising agency accounted for 10% or more of the Group’s revenues. The Group’s top 10 advertising agencies contributed to 22%, 23%, and 26% of the Group’s revenues for the years ended December 31, 2016, 2017, and 2018, respectively.</w:t>
      </w:r>
    </w:p>
    <w:p>
      <w:pPr>
        <w:spacing w:after="0" w:line="18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As of December 31, 2017 and 2018, substantially all accounts receivable were derived from the Group’s China operations. Excluding accounts receivable due from Alibaba and other related parties, accounts receivable primarily consists of amounts due from advertising agencies and direct customers. Alibaba accounted for 25% and 13%, respectively, of the Group’s net accounts receivables as of December 31, 2017 and 2018, while one customer accounted for 10% and 6%, and another one accounted for 6% and 22%, respectively, at the same dates.</w:t>
      </w:r>
    </w:p>
    <w:p>
      <w:pPr>
        <w:spacing w:after="0" w:line="171"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i w:val="1"/>
          <w:iCs w:val="1"/>
          <w:color w:val="auto"/>
        </w:rPr>
        <w:t xml:space="preserve">Concentration of foreign currency risks. </w:t>
      </w:r>
      <w:r>
        <w:rPr>
          <w:rFonts w:ascii="Arial" w:cs="Arial" w:eastAsia="Arial" w:hAnsi="Arial"/>
          <w:sz w:val="18"/>
          <w:szCs w:val="18"/>
          <w:color w:val="auto"/>
        </w:rPr>
        <w:t>The majority of the Group’s operations were in RMB. As of December 31, 2017 and 2018, the Group’s cash,</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and short-term investments balance denominated in RMB was $871.2 million and $950.8 million, accounting for 49% and 52% of the Group’s total cash, cash equivalents and short-term investments balance. As of December 31, 2017 and 2018, the Group’s aggregate net accounts receivable balance (including accounts receivable due from third parties, Alibaba and other related parties) denominated in RMB was $170.1 million and $368.8 million, respectively, accounting for almost all of its net accounts receivable balance. As of December 31, 2017 and 2018, the Group’s current liabilities balance denominated in RMB was $475.6 million and $620.4 million, accounting for 98% and 99% of its total current liabilities balance. Accordingly, the Group may experience economic losses and negative impacts on earnings and equity as a result of exchange rate fluctuations of the RMB. Moreover, the Chinese government imposes controls on the convertibility of the RMB into foreign currencies and, in certain cases, the remittance of currency out of the PRC. The Group may experience difficulties in completing the administrative procedures necessary to remit its RMB out of the PRC and convert it into foreign currency.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In February 2016, the FASB issued a new standard on leases, ASU 2016-02, which requires that a lessee recognize the assets and liabilities that arise from operating leases. A lessee should recognize a liability to make lease payments (the Lease Liability) and a right-of-use asset representing its right to use the underlying asset for the lease term in the statements of financial position. For leases with a term of 12 months or less, a lessee is permitted to make an accounting policy election by class of underlying asset not to recognize lease assets and lease liabilities. In July 2018, the FASB issued an amendment on leases, ASU 2018-11, which provides another transition method in addition to the existing transition methods by allowing entities to initially apply the new leases standard at the effective date and recognize a cumulative-effect adjustment to the opening balance of retained earnings in the period of adoption. The Group has adopted the new lease standard beginning the first quarter of fiscal year 2019 using the transition method provided by ASU 2018-11 and will not retrospectively adjust the prior comparative periods. The impacts of initially applying the guidance on the opening balance of 2019 mainly were estimated to recognize approximately $10 million to $12 million of leasing related assets and liabilities that arise from its operating leases, respectively.</w:t>
      </w:r>
    </w:p>
    <w:p>
      <w:pPr>
        <w:spacing w:after="0" w:line="16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June 2016, the FASB issued of ASU 2016-13, “Financial Instruments—Credit Losses (Topic 326), Measurement of Credit Losses on Financial Instruments”, which will be effective for the Group in the fiscal year of 2020. The guidance replaces the incurred loss impairment methodology with an expected credit loss model for which an entity recognizes an allowance based on the estimate of expected credit loss. In November 2018, the FASB issued an amendment of Topic 326, ASU 2018-19, which clarifies that receivables arising from operating leases are not within the scope of Subtopic 326-20 and should be accounted for in accordance with Topic 842, Leases. The Group is currently evaluating the impact of adopting ASU 2016-13 on its consolidated financial statements but does not expect it to have a material impact.</w:t>
      </w:r>
    </w:p>
    <w:p>
      <w:pPr>
        <w:spacing w:after="0" w:line="193"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January 2017, the FASB issued ASU 2017-04, which simplifies the subsequent measurement of goodwill by eliminating Step 2 from the goodwill impairment test. Under the amendments, an entity should perform its annual, or interim, goodwill impairment test by comparing the fair value of a reporting unit with its carrying value, which eliminates the current requirement to calculate a goodwill impairment charge by comparing the implied fair value of goodwill with its carrying amount. The amendments will be effective beginning the first quarter of fiscal year 2020. The Group adopted the guidance on January 1, 2019 on a prospective basis and expects no impact arising from the amendments.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Cash Equivalents and Short-term Investments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cash equivalents and short-term investments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6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1,000,953</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1,234,596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time deposits</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791,730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short-term investments</w:t>
            </w:r>
          </w:p>
        </w:tc>
        <w:tc>
          <w:tcPr>
            <w:tcW w:w="2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1,792,683</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55"/>
        <w:spacing w:after="0" w:line="342" w:lineRule="auto"/>
        <w:rPr>
          <w:sz w:val="20"/>
          <w:szCs w:val="20"/>
          <w:color w:val="auto"/>
        </w:rPr>
      </w:pPr>
      <w:r>
        <w:rPr>
          <w:rFonts w:ascii="Arial" w:cs="Arial" w:eastAsia="Arial" w:hAnsi="Arial"/>
          <w:sz w:val="16"/>
          <w:szCs w:val="16"/>
          <w:color w:val="auto"/>
        </w:rPr>
        <w:t>The carrying amounts of cash, cash equivalents and short-term investments approximate fair value. Interest income was $7.6 million, $19.5 million and $58.0 million for the years ended December 31, 2016, 2017 and 2018, respectively. The maturity dates for the time deposits were within one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Investments</w:t>
      </w:r>
    </w:p>
    <w:p>
      <w:pPr>
        <w:spacing w:after="0" w:line="229"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Long-term investments comprised of investments in publicly traded companies, privately held companies, and limited partnerships. The following sets forth the changes in the Group’s long-term investments: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Cost Method/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Available-for-Sale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Without Readily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Securities/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Determinable Fair</w:t>
            </w:r>
          </w:p>
        </w:tc>
        <w:tc>
          <w:tcPr>
            <w:tcW w:w="160" w:type="dxa"/>
            <w:vAlign w:val="bottom"/>
          </w:tcPr>
          <w:p>
            <w:pPr>
              <w:spacing w:after="0"/>
              <w:rPr>
                <w:sz w:val="12"/>
                <w:szCs w:val="12"/>
                <w:color w:val="auto"/>
              </w:rPr>
            </w:pPr>
          </w:p>
        </w:tc>
        <w:tc>
          <w:tcPr>
            <w:tcW w:w="15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2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Readily Determinable Fair</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Values</w:t>
            </w: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Values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940" w:type="dxa"/>
            <w:vAlign w:val="bottom"/>
            <w:tcBorders>
              <w:top w:val="single" w:sz="8" w:color="auto"/>
            </w:tcBorders>
            <w:gridSpan w:val="5"/>
          </w:tcPr>
          <w:p>
            <w:pPr>
              <w:jc w:val="right"/>
              <w:ind w:right="18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281,707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Investments made/transfers from prepayments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147,767</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4,324</w:t>
            </w:r>
          </w:p>
        </w:tc>
        <w:tc>
          <w:tcPr>
            <w:tcW w:w="180" w:type="dxa"/>
            <w:vAlign w:val="bottom"/>
          </w:tcPr>
          <w:p>
            <w:pPr>
              <w:spacing w:after="0"/>
              <w:rPr>
                <w:sz w:val="18"/>
                <w:szCs w:val="18"/>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152,091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method investment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Disposal of investments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(6,010)</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Impairment on investments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(31,586)</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Unrealized loss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(2,557)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(1,548)</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Investments made/transfers from prepayments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31,776</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22,307</w:t>
            </w:r>
          </w:p>
        </w:tc>
        <w:tc>
          <w:tcPr>
            <w:tcW w:w="180" w:type="dxa"/>
            <w:vAlign w:val="bottom"/>
          </w:tcPr>
          <w:p>
            <w:pPr>
              <w:spacing w:after="0"/>
              <w:rPr>
                <w:sz w:val="18"/>
                <w:szCs w:val="18"/>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Gain from equity method investment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1,030</w:t>
            </w:r>
          </w:p>
        </w:tc>
        <w:tc>
          <w:tcPr>
            <w:tcW w:w="1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5"/>
              </w:rPr>
              <w:t>Dividend received from equity method investment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Impairment on investments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Unrealized loss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420,356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Investments made/transfers from prepayments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134,797</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97,337</w:t>
            </w:r>
          </w:p>
        </w:tc>
        <w:tc>
          <w:tcPr>
            <w:tcW w:w="180" w:type="dxa"/>
            <w:vAlign w:val="bottom"/>
          </w:tcPr>
          <w:p>
            <w:pPr>
              <w:spacing w:after="0"/>
              <w:rPr>
                <w:sz w:val="18"/>
                <w:szCs w:val="18"/>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232,134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Gain from equity method investment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5"/>
              </w:rPr>
              <w:t>Dividend received from equity method investment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Disposal of investments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Impairment on investments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(23,557)</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change through earnings (including</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of subsequent price changes)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42,877</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(2,803)</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(3,854)</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570,619</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122,491</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jc w:val="right"/>
              <w:ind w:right="50"/>
              <w:spacing w:after="0"/>
              <w:rPr>
                <w:sz w:val="20"/>
                <w:szCs w:val="20"/>
                <w:color w:val="auto"/>
              </w:rPr>
            </w:pPr>
            <w:r>
              <w:rPr>
                <w:rFonts w:ascii="Arial" w:cs="Arial" w:eastAsia="Arial" w:hAnsi="Arial"/>
                <w:sz w:val="18"/>
                <w:szCs w:val="18"/>
                <w:color w:val="auto"/>
              </w:rPr>
              <w:t>F-24</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510"/>
        <w:spacing w:after="0" w:line="302" w:lineRule="auto"/>
        <w:rPr>
          <w:sz w:val="20"/>
          <w:szCs w:val="20"/>
          <w:color w:val="auto"/>
        </w:rPr>
      </w:pPr>
      <w:r>
        <w:rPr>
          <w:rFonts w:ascii="Arial" w:cs="Arial" w:eastAsia="Arial" w:hAnsi="Arial"/>
          <w:sz w:val="16"/>
          <w:szCs w:val="16"/>
          <w:color w:val="auto"/>
        </w:rPr>
        <w:t>The Group used measurement alternative for recording equity investments without readily determinable fair values at cost, less impairment, adjusted for subsequent observable price changes. Based on ASU 2016-01, entities that elect the measurement alternative will report changes in the carrying value of the equity investments in current earnings. If measurement alternative is used, changes in the carrying value of the equity investment will be recognized whenever there are observable price changes in orderly transactions for the identical or similar investment of the same issuer.</w:t>
      </w:r>
    </w:p>
    <w:p>
      <w:pPr>
        <w:spacing w:after="0" w:line="154"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 following table summarizes the total carrying value of the equity investments accounted for under the measurement alternative as of December 31, 2018 including cumulative unrealized upward and downward adjustments made to the initial cost basis of the securities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Initial cost basis</w:t>
            </w:r>
          </w:p>
        </w:tc>
        <w:tc>
          <w:tcPr>
            <w:tcW w:w="37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555,153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Upward adjustments</w:t>
            </w:r>
          </w:p>
        </w:tc>
        <w:tc>
          <w:tcPr>
            <w:tcW w:w="2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42,877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(23,557)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(3,854)</w:t>
            </w:r>
          </w:p>
        </w:tc>
      </w:tr>
      <w:tr>
        <w:trPr>
          <w:trHeight w:val="210"/>
        </w:trPr>
        <w:tc>
          <w:tcPr>
            <w:tcW w:w="6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carrying value at the end of the period</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Group recorded $42.9 million gains (only cumulative upward adjustment) from investments, which were based on identified observable price changes during 2018, indicated by new issuance of identical securities of the same investee or transactions of identical securities by other existing shareholders. The Group did not dispose any interests of these investments and all of the gains were unrealized as of December 31, 2018. The Group classifies the valuation techniques on those investments that use similar identifiable transaction prices as Level 2 of fair value measurements. The Group recognized $23.6 million impairment charge, and recorded no other downward adjustment to investments without readily determinable fair value for the year ended December 31, 2018.</w:t>
      </w:r>
    </w:p>
    <w:p>
      <w:pPr>
        <w:spacing w:after="0" w:line="19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For the year ended December 31, 2018, the Group made investments in private high tech companies totaling $134.8 million, which were accounted for under investments without readily determinable fair values. These investments were made, in general to expand and strengthen the Group’s ecosystem. The Group also made investment in limited partnerships of $97.3 million in 2018, which were accounted for under equity method. These investments mainly included a $48.0 million and a $45.0 million investment in two investing funds.</w:t>
      </w:r>
    </w:p>
    <w:p>
      <w:pPr>
        <w:spacing w:after="0" w:line="18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Investments in marketable equity securities are valued using the market approach based on the quoted prices in active markets at the reporting date. The Group made a $15.1 million investment in 2014 and accounted for it as an AFS investment. In 2016, the Group disposed part of the investment and recognized an impairment charge of $4.8 million to net income, based on the severity and duration of the decline from the carrying value. As of December 31, 2017, the fair value of the AFS investment was $4.3 million. Due to the adoption of ASU 2016-01, the AFS was reclassified to investment with readily determinable fair values beginning January 1, 2018, the Group recorded $2.8 million loss, which is unrealized in 2018, and the fair value was $1.5 million as of December 31, 2018.</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carrying amount and fair value of the marketable security: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278"/>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27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4"/>
                <w:szCs w:val="14"/>
                <w:b w:val="1"/>
                <w:bCs w:val="1"/>
                <w:color w:val="auto"/>
              </w:rPr>
              <w:t>Basis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278"/>
              <w:spacing w:after="0"/>
              <w:rPr>
                <w:sz w:val="20"/>
                <w:szCs w:val="20"/>
                <w:color w:val="auto"/>
              </w:rPr>
            </w:pPr>
            <w:r>
              <w:rPr>
                <w:rFonts w:ascii="Arial" w:cs="Arial" w:eastAsia="Arial" w:hAnsi="Arial"/>
                <w:sz w:val="14"/>
                <w:szCs w:val="14"/>
                <w:b w:val="1"/>
                <w:bCs w:val="1"/>
                <w:color w:val="auto"/>
                <w:w w:val="92"/>
              </w:rPr>
              <w:t>Gains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One marketable security</w:t>
            </w:r>
          </w:p>
        </w:tc>
        <w:tc>
          <w:tcPr>
            <w:tcW w:w="190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5,274</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2017</w:t>
            </w:r>
          </w:p>
        </w:tc>
        <w:tc>
          <w:tcPr>
            <w:tcW w:w="9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4"/>
              </w:rPr>
              <w:t>5,274</w:t>
            </w:r>
          </w:p>
        </w:tc>
        <w:tc>
          <w:tcPr>
            <w:tcW w:w="3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3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One marketable security</w:t>
            </w:r>
          </w:p>
        </w:tc>
        <w:tc>
          <w:tcPr>
            <w:tcW w:w="9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5,274</w:t>
            </w:r>
          </w:p>
        </w:tc>
        <w:tc>
          <w:tcPr>
            <w:tcW w:w="3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900" w:type="dxa"/>
            <w:vAlign w:val="bottom"/>
          </w:tcPr>
          <w:p>
            <w:pPr>
              <w:spacing w:after="0"/>
              <w:rPr>
                <w:sz w:val="18"/>
                <w:szCs w:val="18"/>
                <w:color w:val="auto"/>
              </w:rPr>
            </w:pPr>
          </w:p>
        </w:tc>
        <w:tc>
          <w:tcPr>
            <w:tcW w:w="1000" w:type="dxa"/>
            <w:vAlign w:val="bottom"/>
            <w:tcBorders>
              <w:bottom w:val="single" w:sz="8" w:color="auto"/>
            </w:tcBorders>
          </w:tcPr>
          <w:p>
            <w:pPr>
              <w:jc w:val="right"/>
              <w:ind w:right="81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5,274</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ind w:right="938"/>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510"/>
        <w:spacing w:after="0" w:line="297" w:lineRule="auto"/>
        <w:rPr>
          <w:sz w:val="20"/>
          <w:szCs w:val="20"/>
          <w:color w:val="auto"/>
        </w:rPr>
      </w:pPr>
      <w:r>
        <w:rPr>
          <w:rFonts w:ascii="Arial" w:cs="Arial" w:eastAsia="Arial" w:hAnsi="Arial"/>
          <w:sz w:val="16"/>
          <w:szCs w:val="16"/>
          <w:color w:val="auto"/>
        </w:rPr>
        <w:t>The Group recorded impairment charges of $40.2 million, $4.7 million, and $24.1 million on its long-term investments and prepayment for the years ended December 31, 2016, 2017 and 2018, respectively, as a result of the investments not performing to expectation or them becoming incapable of making repayment. These included write-offs of prepayments of $3.8 million and $0.5 million in 2016 and 2018, respectively. The investment impairment in 2016 included a $19.0 million write-off on an online-to-offline business and a $10.5 million write-off on an employment-oriented social company. The investment impairment in 2018 included an $11.9 million write-off on an online-reading business and a $9.7 million write-off on a company operating in game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Goodwill and Intangible Assets</w:t>
      </w:r>
    </w:p>
    <w:p>
      <w:pPr>
        <w:spacing w:after="0" w:line="229"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On October 1, 2018(“Acquisition Date”), the Group entered into a series of business and asset transfer agreements with Yixia Tech Co., Ltd. (“Yixia Tech”) to acquire the whole of the live streaming business of Yizhibo, which was previously operated by Yixia Tech. The acquisition included the Yizhibo APP and related assets/technology, employees and business contracts with a cash consideration of US$50 million. As of December 31, 2018, the Group had paid $40.0 million to Yixia Tech, with the final $10.0 million scheduled to be paid in 2019. The Group has engaged an independent valuation firm to help management determine the value of assets and liabilities from the acquisition. Total identifiable intangible assets acquired on acquisition date included supplier-relationship of $9.7 million with estimated useful life of five years, core technology of $6.6 million with estimated useful life of eight years, and trademark and domain name of $5.6 million with estimated useful life of ten years. The Group had one immaterial acquisition in 2017. No new acquisition incurred in 2016.</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consideration of acquisition of Yizhibo was allocated based on their fair value of the assets acquired and the liabilities assumed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As of Acquisition Date</w:t>
            </w:r>
          </w:p>
        </w:tc>
      </w:tr>
      <w:tr>
        <w:trPr>
          <w:trHeight w:val="142"/>
        </w:trPr>
        <w:tc>
          <w:tcPr>
            <w:tcW w:w="9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r>
      <w:tr>
        <w:trPr>
          <w:trHeight w:val="210"/>
        </w:trPr>
        <w:tc>
          <w:tcPr>
            <w:tcW w:w="9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r>
      <w:tr>
        <w:trPr>
          <w:trHeight w:val="216"/>
        </w:trPr>
        <w:tc>
          <w:tcPr>
            <w:tcW w:w="9380" w:type="dxa"/>
            <w:vAlign w:val="bottom"/>
          </w:tcPr>
          <w:p>
            <w:pPr>
              <w:ind w:left="200"/>
              <w:spacing w:after="0"/>
              <w:rPr>
                <w:sz w:val="20"/>
                <w:szCs w:val="20"/>
                <w:color w:val="auto"/>
              </w:rPr>
            </w:pPr>
            <w:r>
              <w:rPr>
                <w:rFonts w:ascii="Arial" w:cs="Arial" w:eastAsia="Arial" w:hAnsi="Arial"/>
                <w:sz w:val="18"/>
                <w:szCs w:val="18"/>
                <w:color w:val="auto"/>
              </w:rPr>
              <w:t>Identifiable intangible assets acquired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21,942</w:t>
            </w:r>
          </w:p>
        </w:tc>
        <w:tc>
          <w:tcPr>
            <w:tcW w:w="80" w:type="dxa"/>
            <w:vAlign w:val="bottom"/>
          </w:tcPr>
          <w:p>
            <w:pPr>
              <w:spacing w:after="0"/>
              <w:rPr>
                <w:sz w:val="18"/>
                <w:szCs w:val="18"/>
                <w:color w:val="auto"/>
              </w:rPr>
            </w:pPr>
          </w:p>
        </w:tc>
      </w:tr>
      <w:tr>
        <w:trPr>
          <w:trHeight w:val="216"/>
        </w:trPr>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2,874</w:t>
            </w:r>
          </w:p>
        </w:tc>
        <w:tc>
          <w:tcPr>
            <w:tcW w:w="80" w:type="dxa"/>
            <w:vAlign w:val="bottom"/>
            <w:shd w:val="clear" w:color="auto" w:fill="CCEEFF"/>
          </w:tcPr>
          <w:p>
            <w:pPr>
              <w:spacing w:after="0"/>
              <w:rPr>
                <w:sz w:val="18"/>
                <w:szCs w:val="18"/>
                <w:color w:val="auto"/>
              </w:rPr>
            </w:pPr>
          </w:p>
        </w:tc>
      </w:tr>
      <w:tr>
        <w:trPr>
          <w:trHeight w:val="216"/>
        </w:trPr>
        <w:tc>
          <w:tcPr>
            <w:tcW w:w="9380" w:type="dxa"/>
            <w:vAlign w:val="bottom"/>
          </w:tcPr>
          <w:p>
            <w:pPr>
              <w:ind w:left="20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(2,434)</w:t>
            </w:r>
          </w:p>
        </w:tc>
      </w:tr>
      <w:tr>
        <w:trPr>
          <w:trHeight w:val="216"/>
        </w:trPr>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27,152</w:t>
            </w:r>
          </w:p>
        </w:tc>
        <w:tc>
          <w:tcPr>
            <w:tcW w:w="80" w:type="dxa"/>
            <w:vAlign w:val="bottom"/>
            <w:shd w:val="clear" w:color="auto" w:fill="CCEEFF"/>
          </w:tcPr>
          <w:p>
            <w:pPr>
              <w:spacing w:after="0"/>
              <w:rPr>
                <w:sz w:val="18"/>
                <w:szCs w:val="18"/>
                <w:color w:val="auto"/>
              </w:rPr>
            </w:pPr>
          </w:p>
        </w:tc>
      </w:tr>
      <w:tr>
        <w:trPr>
          <w:trHeight w:val="210"/>
        </w:trPr>
        <w:tc>
          <w:tcPr>
            <w:tcW w:w="93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acquisition mentioned above resulted in an increase of $28.0 million to revenues and an immaterial impact to net income for 2018. It did not have a material impact on the Group’s consolidated financial statements; therefore, pro forma disclosures have not been presented.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the changes in the Group’s goodwill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Advertising &amp;</w:t>
            </w:r>
          </w:p>
        </w:tc>
        <w:tc>
          <w:tcPr>
            <w:tcW w:w="16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Value-added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Marketing</w:t>
            </w: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services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10,266</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0"/>
              <w:spacing w:after="0"/>
              <w:rPr>
                <w:sz w:val="20"/>
                <w:szCs w:val="20"/>
                <w:color w:val="auto"/>
              </w:rPr>
            </w:pPr>
            <w:r>
              <w:rPr>
                <w:rFonts w:ascii="Arial" w:cs="Arial" w:eastAsia="Arial" w:hAnsi="Arial"/>
                <w:sz w:val="18"/>
                <w:szCs w:val="18"/>
                <w:color w:val="auto"/>
              </w:rPr>
              <w:t>New acquisition</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translation adjustment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December 31, 2017</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Yizhibo</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(10,554)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(10,554)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translation adjustment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27,155</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510"/>
        <w:spacing w:after="0" w:line="297" w:lineRule="auto"/>
        <w:rPr>
          <w:sz w:val="20"/>
          <w:szCs w:val="20"/>
          <w:color w:val="auto"/>
        </w:rPr>
      </w:pPr>
      <w:r>
        <w:rPr>
          <w:rFonts w:ascii="Arial" w:cs="Arial" w:eastAsia="Arial" w:hAnsi="Arial"/>
          <w:sz w:val="16"/>
          <w:szCs w:val="16"/>
          <w:color w:val="auto"/>
        </w:rPr>
        <w:t xml:space="preserve">The Group performs at least annually a qualitative analysis on the goodwill arising from acquisitions taking into consideration the events and circumstances listed in ASC350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including consideration of macroeconomic factors, industry and market conditions, share price of the Group, and overall financial performance, in addition to other entity-specific factors. Based on the analysis, the Group recognized in 2018 an impairment charge of $10.6 million for the goodwill arising from certain acquisitions made under value-added services segment </w:t>
      </w:r>
      <w:r>
        <w:rPr>
          <w:rFonts w:ascii="Arial" w:cs="Arial" w:eastAsia="Arial" w:hAnsi="Arial"/>
          <w:sz w:val="15"/>
          <w:szCs w:val="15"/>
          <w:color w:val="auto"/>
        </w:rPr>
        <w:t>due to</w:t>
      </w:r>
      <w:r>
        <w:rPr>
          <w:rFonts w:ascii="Arial" w:cs="Arial" w:eastAsia="Arial" w:hAnsi="Arial"/>
          <w:sz w:val="16"/>
          <w:szCs w:val="16"/>
          <w:color w:val="auto"/>
        </w:rPr>
        <w:t xml:space="preserve"> the unsatisfactory financial performance and not optimistic forecast of future revenues. No impairment provision was made for the years ended December 31, 2016 and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Group’s intangible assets arising from acquisitions: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2018</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72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60" w:type="dxa"/>
            <w:vAlign w:val="bottom"/>
          </w:tcPr>
          <w:p>
            <w:pPr>
              <w:spacing w:after="0"/>
              <w:rPr>
                <w:sz w:val="10"/>
                <w:szCs w:val="10"/>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4"/>
              </w:rPr>
              <w:t>(In thousand)</w:t>
            </w: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4"/>
              </w:rPr>
              <w:t>(In thousand)</w:t>
            </w: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(2,062)</w:t>
            </w: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Trademark and Domain name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Supplier-relationship</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Others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(2,414)</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(2,326)</w:t>
            </w:r>
          </w:p>
        </w:tc>
        <w:tc>
          <w:tcPr>
            <w:tcW w:w="260" w:type="dxa"/>
            <w:vAlign w:val="bottom"/>
          </w:tcPr>
          <w:p>
            <w:pPr>
              <w:spacing w:after="0"/>
              <w:rPr>
                <w:sz w:val="18"/>
                <w:szCs w:val="18"/>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312" w:lineRule="auto"/>
        <w:rPr>
          <w:sz w:val="20"/>
          <w:szCs w:val="20"/>
          <w:color w:val="auto"/>
        </w:rPr>
      </w:pPr>
      <w:r>
        <w:rPr>
          <w:rFonts w:ascii="Arial" w:cs="Arial" w:eastAsia="Arial" w:hAnsi="Arial"/>
          <w:sz w:val="16"/>
          <w:szCs w:val="16"/>
          <w:color w:val="auto"/>
        </w:rPr>
        <w:t>As of December 31, 2018, the Group’s intangible assets totaled $21.1 million, mainly consisted of technology, trademark and domain name, and supplier-relationship from the Yizhibo acquisition. The amortization expense for the years ended December 31, 2016, 2017 and 2018 was $0.7 million, $0.6 million and $1.3 million, respectively. As of December 31, 2018, estimated amortization expenses for future periods are expected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2020</w:t>
            </w:r>
          </w:p>
        </w:tc>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3,364</w:t>
            </w:r>
          </w:p>
        </w:tc>
        <w:tc>
          <w:tcPr>
            <w:tcW w:w="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w:t>
            </w:r>
          </w:p>
        </w:tc>
        <w:tc>
          <w:tcPr>
            <w:tcW w:w="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2022</w:t>
            </w:r>
          </w:p>
        </w:tc>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3,364</w:t>
            </w:r>
          </w:p>
        </w:tc>
        <w:tc>
          <w:tcPr>
            <w:tcW w:w="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7,647</w:t>
            </w:r>
          </w:p>
        </w:tc>
        <w:tc>
          <w:tcPr>
            <w:tcW w:w="40" w:type="dxa"/>
            <w:vAlign w:val="bottom"/>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Total expected amortization expense</w:t>
            </w:r>
          </w:p>
        </w:tc>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6020" w:type="dxa"/>
            <w:vAlign w:val="bottom"/>
            <w:gridSpan w:val="3"/>
          </w:tcPr>
          <w:p>
            <w:pPr>
              <w:jc w:val="right"/>
              <w:ind w:right="4150"/>
              <w:spacing w:after="0"/>
              <w:rPr>
                <w:sz w:val="20"/>
                <w:szCs w:val="20"/>
                <w:color w:val="auto"/>
              </w:rPr>
            </w:pPr>
            <w:r>
              <w:rPr>
                <w:rFonts w:ascii="Arial" w:cs="Arial" w:eastAsia="Arial" w:hAnsi="Arial"/>
                <w:sz w:val="18"/>
                <w:szCs w:val="18"/>
                <w:color w:val="auto"/>
              </w:rPr>
              <w:t>F-27</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00" w:type="dxa"/>
            <w:vAlign w:val="bottom"/>
            <w:tcBorders>
              <w:bottom w:val="single" w:sz="8" w:color="808080"/>
            </w:tcBorders>
          </w:tcPr>
          <w:p>
            <w:pPr>
              <w:spacing w:after="0"/>
              <w:rPr>
                <w:sz w:val="11"/>
                <w:szCs w:val="11"/>
                <w:color w:val="auto"/>
              </w:rPr>
            </w:pPr>
          </w:p>
        </w:tc>
        <w:tc>
          <w:tcPr>
            <w:tcW w:w="55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August 2010, the Company adopted the 2010 Share Incentive Plan (the “2010 Plan”), which has a term of ten years and permits the grant of options, share appreciation rights, restricted shares and restricted share units of the Company to employees, directors and consultants of the Company and its affiliates. Under the plan, a total of 35 million ordinary shares were initially reserved for issuance. The maximum number of ordinary shares available for issuance will be reduced by one share for every one share issued pursuant to a share option or share appreciation right and by 1.75 share for every one share issued as restricted shares or pursuant to a restricted shares unit. In March 2014, the 2010 Plan was terminated and all remaining shares were forwarded to the 2014 Plan.</w:t>
      </w:r>
    </w:p>
    <w:p>
      <w:pPr>
        <w:spacing w:after="0" w:line="193"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March 2014, the Company adopted the 2014 Share Incentive Plan (the “2014 Plan”), which was funded by the remaining 4.6 million shares from the 2010 Plan plus an additional 1.0 million shares. On January 1, 2015, shares in the 2014 Plan, which have a term life of ten years, were allowed a one-time increase in the amount equal to 10% of the total number of Weibo shares issued and outstanding on a fully-diluted basis as of December 31, 2014. Each share in the 2014 Plan pool allows for a grant of a restricted share unit or option share. The Company intends to use such share incentive plan to attract and retain employee talent.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stock-based compensation included in each of the relevant accounts: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5,357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8,264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15,076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13,853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14,178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9,465</w:t>
            </w:r>
          </w:p>
        </w:tc>
      </w:tr>
      <w:tr>
        <w:trPr>
          <w:trHeight w:val="210"/>
        </w:trPr>
        <w:tc>
          <w:tcPr>
            <w:tcW w:w="66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36,902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Stock based compensation related to the grants were amortized generally over four years on a straight-line basis with $36.9 million, $48.0 million and $41.0 million expensed for the years ended December 31, 2016, 2017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number of shares available for issuance: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Shares Available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13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Addition</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Cancelled/expired/forfeited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Addition</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Cancelled/expired/forfeited</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Addition</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Cancelled/expired/forfeited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80" w:right="300" w:hanging="272"/>
        <w:spacing w:after="0" w:line="277" w:lineRule="auto"/>
        <w:tabs>
          <w:tab w:leader="none" w:pos="54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the years ended December 31, 2016, 2017 and 2018, 1.9 million, 0.7 million and 1.6 million restricted share units were granted under the 2014 Plan, respectively. No options were granted for the three-year period ended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option activities under the Company’s stock option program: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16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Weighted Average</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Contractual Life</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Cancelled/expired/forfeited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3.37</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1380" w:type="dxa"/>
            <w:vAlign w:val="bottom"/>
          </w:tcPr>
          <w:p>
            <w:pPr>
              <w:jc w:val="right"/>
              <w:spacing w:after="0"/>
              <w:rPr>
                <w:sz w:val="20"/>
                <w:szCs w:val="20"/>
                <w:color w:val="auto"/>
              </w:rPr>
            </w:pPr>
            <w:r>
              <w:rPr>
                <w:rFonts w:ascii="Arial" w:cs="Arial" w:eastAsia="Arial" w:hAnsi="Arial"/>
                <w:sz w:val="18"/>
                <w:szCs w:val="18"/>
                <w:color w:val="auto"/>
              </w:rPr>
              <w:t>2,587</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(2,122)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Cancelled/expired/forfeited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Cancelled/expired/forfeited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3.45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Vested and expected to vest as of December 31, 2017</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2017</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Exercisable as of December 31, 2018</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3.45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total intrinsic value of options exercised for the years ended December 31, 2016, 2017 and 2018 was $129.3 million, $135.2 million and $25.6 million, respectively. The intrinsic value is calculated as the difference between the market value on the date of exercise and the exercise price of the shares. As reported by the NASDAQ Global Selected Market, the Company’s ending stock price as of December 31, 2016, 2017 and 2018 was $40.60, $103.46 and $58.43, respectively. Cash received from the exercise of stock option during the years ended December 31, 2016, 2017 and 2018 was $4.2 million, $2.3 million and $0.8 million, respectively.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all compensation cost related to stock options has been fully amortized in 2017, there is no remaining unrecognized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stock options outstanding is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3"/>
            <w:vMerge w:val="continue"/>
          </w:tcPr>
          <w:p>
            <w:pPr>
              <w:spacing w:after="0"/>
              <w:rPr>
                <w:sz w:val="12"/>
                <w:szCs w:val="12"/>
                <w:color w:val="auto"/>
              </w:rPr>
            </w:pPr>
          </w:p>
        </w:tc>
        <w:tc>
          <w:tcPr>
            <w:tcW w:w="82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Exercisable</w:t>
            </w:r>
          </w:p>
        </w:tc>
        <w:tc>
          <w:tcPr>
            <w:tcW w:w="104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9"/>
              </w:rPr>
              <w:t>Exercise Price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$ 0.96 - $1.80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0.97</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31</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600" w:type="dxa"/>
            <w:vAlign w:val="bottom"/>
            <w:gridSpan w:val="4"/>
          </w:tcPr>
          <w:p>
            <w:pPr>
              <w:jc w:val="right"/>
              <w:ind w:right="280"/>
              <w:spacing w:after="0"/>
              <w:rPr>
                <w:sz w:val="20"/>
                <w:szCs w:val="20"/>
                <w:color w:val="auto"/>
              </w:rPr>
            </w:pPr>
            <w:r>
              <w:rPr>
                <w:rFonts w:ascii="Arial" w:cs="Arial" w:eastAsia="Arial" w:hAnsi="Arial"/>
                <w:sz w:val="18"/>
                <w:szCs w:val="18"/>
                <w:color w:val="auto"/>
                <w:w w:val="85"/>
              </w:rPr>
              <w:t>0.97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$ 3.25 - $3.36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5"/>
              </w:rPr>
              <w:t>3.33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$ 3.43 - $3.50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227</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600" w:type="dxa"/>
            <w:vAlign w:val="bottom"/>
            <w:gridSpan w:val="4"/>
          </w:tcPr>
          <w:p>
            <w:pPr>
              <w:jc w:val="right"/>
              <w:ind w:right="280"/>
              <w:spacing w:after="0"/>
              <w:rPr>
                <w:sz w:val="20"/>
                <w:szCs w:val="20"/>
                <w:color w:val="auto"/>
              </w:rPr>
            </w:pPr>
            <w:r>
              <w:rPr>
                <w:rFonts w:ascii="Arial" w:cs="Arial" w:eastAsia="Arial" w:hAnsi="Arial"/>
                <w:sz w:val="18"/>
                <w:szCs w:val="18"/>
                <w:color w:val="auto"/>
                <w:w w:val="85"/>
              </w:rPr>
              <w:t>3.48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5"/>
              </w:rPr>
              <w:t>3.24</w:t>
            </w:r>
          </w:p>
        </w:tc>
        <w:tc>
          <w:tcPr>
            <w:tcW w:w="15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$ 3.25 - $3.36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5"/>
              </w:rPr>
              <w:t>3.30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$ 3.43 - $3.50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152</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600" w:type="dxa"/>
            <w:vAlign w:val="bottom"/>
            <w:gridSpan w:val="4"/>
          </w:tcPr>
          <w:p>
            <w:pPr>
              <w:jc w:val="right"/>
              <w:ind w:right="280"/>
              <w:spacing w:after="0"/>
              <w:rPr>
                <w:sz w:val="20"/>
                <w:szCs w:val="20"/>
                <w:color w:val="auto"/>
              </w:rPr>
            </w:pPr>
            <w:r>
              <w:rPr>
                <w:rFonts w:ascii="Arial" w:cs="Arial" w:eastAsia="Arial" w:hAnsi="Arial"/>
                <w:sz w:val="18"/>
                <w:szCs w:val="18"/>
                <w:color w:val="auto"/>
                <w:w w:val="85"/>
              </w:rPr>
              <w:t>3.48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5"/>
              </w:rPr>
              <w:t>3.45</w:t>
            </w:r>
          </w:p>
        </w:tc>
        <w:tc>
          <w:tcPr>
            <w:tcW w:w="15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Restricted Share Units</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40" w:type="dxa"/>
            <w:vAlign w:val="bottom"/>
            <w:gridSpan w:val="3"/>
          </w:tcPr>
          <w:p>
            <w:pPr>
              <w:spacing w:after="0"/>
              <w:rPr>
                <w:sz w:val="20"/>
                <w:szCs w:val="20"/>
                <w:color w:val="auto"/>
              </w:rPr>
            </w:pPr>
            <w:r>
              <w:rPr>
                <w:rFonts w:ascii="Arial" w:cs="Arial" w:eastAsia="Arial" w:hAnsi="Arial"/>
                <w:sz w:val="18"/>
                <w:szCs w:val="18"/>
                <w:i w:val="1"/>
                <w:iCs w:val="1"/>
                <w:color w:val="auto"/>
                <w:w w:val="92"/>
              </w:rPr>
              <w:t>Summary of Performance-Based Restricted Share Units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0" w:type="dxa"/>
            <w:vAlign w:val="bottom"/>
            <w:gridSpan w:val="11"/>
          </w:tcPr>
          <w:p>
            <w:pPr>
              <w:ind w:left="500"/>
              <w:spacing w:after="0"/>
              <w:rPr>
                <w:sz w:val="20"/>
                <w:szCs w:val="20"/>
                <w:color w:val="auto"/>
              </w:rPr>
            </w:pPr>
            <w:r>
              <w:rPr>
                <w:rFonts w:ascii="Arial" w:cs="Arial" w:eastAsia="Arial" w:hAnsi="Arial"/>
                <w:sz w:val="18"/>
                <w:szCs w:val="18"/>
                <w:color w:val="auto"/>
              </w:rPr>
              <w:t>The following table sets forth a summary of performance-based restricted share unit activities: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Shares Granted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Awarded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Awarded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Cancelled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90"/>
              <w:spacing w:after="0"/>
              <w:rPr>
                <w:sz w:val="20"/>
                <w:szCs w:val="20"/>
                <w:color w:val="auto"/>
              </w:rPr>
            </w:pPr>
            <w:r>
              <w:rPr>
                <w:rFonts w:ascii="Arial" w:cs="Arial" w:eastAsia="Arial" w:hAnsi="Arial"/>
                <w:sz w:val="18"/>
                <w:szCs w:val="18"/>
                <w:color w:val="auto"/>
              </w:rPr>
              <w:t>(32)</w:t>
            </w: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December 31, 2017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Awarded</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90"/>
              <w:spacing w:after="0"/>
              <w:rPr>
                <w:sz w:val="20"/>
                <w:szCs w:val="20"/>
                <w:color w:val="auto"/>
              </w:rPr>
            </w:pPr>
            <w:r>
              <w:rPr>
                <w:rFonts w:ascii="Arial" w:cs="Arial" w:eastAsia="Arial" w:hAnsi="Arial"/>
                <w:sz w:val="18"/>
                <w:szCs w:val="18"/>
                <w:color w:val="auto"/>
              </w:rPr>
              <w:t>(126)</w:t>
            </w: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(190)</w:t>
            </w: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515"/>
        <w:spacing w:after="0" w:line="277" w:lineRule="auto"/>
        <w:rPr>
          <w:sz w:val="20"/>
          <w:szCs w:val="20"/>
          <w:color w:val="auto"/>
        </w:rPr>
      </w:pPr>
      <w:r>
        <w:rPr>
          <w:rFonts w:ascii="Arial" w:cs="Arial" w:eastAsia="Arial" w:hAnsi="Arial"/>
          <w:sz w:val="18"/>
          <w:szCs w:val="18"/>
          <w:color w:val="auto"/>
        </w:rPr>
        <w:t>As of December 31, 2017 and 2018, unrecognized compensation cost, adjusted for estimated forfeitures, related to performance-based restricted share units granted to the Company’s employees was $0.7 million and $0.02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Service-Based Restricted Share Units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service-based restricted share unit activities: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Granted</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w:t>
            </w:r>
          </w:p>
        </w:tc>
        <w:tc>
          <w:tcPr>
            <w:tcW w:w="280" w:type="dxa"/>
            <w:vAlign w:val="bottom"/>
            <w:gridSpan w:val="2"/>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Awarded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1,806</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(575)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5,458</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Awarded</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Vested</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(2,406)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Awarded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(160)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As of December 31, 2018, unrecognized compensation cost, adjusted for estimated forfeitures and related to non-vested, service-based restricted share units granted to the Company’s employees and directors, was $112.5 million. This cost is expected to be recognized over a weighted-average period of 3.5 years. The total fair value based on the vesting date of the restricted share units vested was $33.5 million, $40.9 million and $37.9 million for the years ended December 31, 2016, 2017 and 2018,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Balance Sheet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5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Due from third parties</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105,686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Alibaba</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42,832</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Due from other related parties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29,696</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131,465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Total gross amount</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178,214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Balance at the beginning of the year</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(6,529)</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Reversal (additional provision) charged to expenses, net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(7,787)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(5,478)</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Write-off</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3,893</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Balance at the end of the year</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(6,529)</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(8,114)</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Rental and other deposits</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2,233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Deductable value-added taxes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Prepayment for investments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20,881</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prepayment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3,959</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Prepayment to outsourced service providers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5,369</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deposited by users*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Content fees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7,393</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4,121</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69,233</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168,821</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Computers and equipment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113,558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4,321</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fixtures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1,241</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Others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2,574</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Property and equipment, gross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121,694</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(87,901)</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33,793</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45,623</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Accrued and other liabilities**: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Payroll and welfare</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57,848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Marketing expenses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53,380</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Payroll withholding taxes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Sales rebates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60,663</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6,170</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VAT and other tax payable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51,563</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 to other service providers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Amounts due to users*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25,277</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consideration for acquisition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Others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9,805</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0" w:firstLine="8"/>
        <w:spacing w:after="0" w:line="297" w:lineRule="auto"/>
        <w:tabs>
          <w:tab w:leader="none" w:pos="13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Weibo wallet enables users to conduct interest-generation activities on Weibo, such as handing out “red envelopes” and coupons to users and purchase different types of products and services on Weibo, including those offered by the Group, such as marketing services and VIP membership, and those offered by Weibo’s platform partners, such as e-commerce merchandises, financial products and virtual gifts. Amounts deposited by users primarily represent the receivables temporarily held in Weibo’s account on a third party online payment platform for Weibo wallet users. Amounts due to users represent the balances that are payable on demand to Weibo wallet users and therefore are reflected as current liability on the consolidated balance sheets.</w:t>
      </w:r>
    </w:p>
    <w:p>
      <w:pPr>
        <w:spacing w:after="0" w:line="158" w:lineRule="exact"/>
        <w:rPr>
          <w:sz w:val="20"/>
          <w:szCs w:val="20"/>
          <w:color w:val="auto"/>
        </w:rPr>
      </w:pPr>
    </w:p>
    <w:p>
      <w:pPr>
        <w:ind w:left="5540" w:right="3940" w:hanging="5532"/>
        <w:spacing w:after="0" w:line="528" w:lineRule="auto"/>
        <w:tabs>
          <w:tab w:leader="none" w:pos="22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 amounts due to third parties, employees, related parties (see Note 9) and Weibo wallet users.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registered in the Cayman Islands and mainly operates in two taxable jurisdictions—the PRC and Hong Kong.</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Group’s income before income taxes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433"/>
              <w:spacing w:after="0" w:line="142" w:lineRule="exact"/>
              <w:rPr>
                <w:sz w:val="20"/>
                <w:szCs w:val="20"/>
                <w:color w:val="auto"/>
              </w:rPr>
            </w:pPr>
            <w:r>
              <w:rPr>
                <w:rFonts w:ascii="Arial" w:cs="Arial" w:eastAsia="Arial" w:hAnsi="Arial"/>
                <w:sz w:val="14"/>
                <w:szCs w:val="14"/>
                <w:b w:val="1"/>
                <w:bCs w:val="1"/>
                <w:color w:val="auto"/>
                <w:w w:val="96"/>
              </w:rPr>
              <w:t>2017</w:t>
            </w: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80" w:type="dxa"/>
            <w:vAlign w:val="bottom"/>
            <w:gridSpan w:val="4"/>
          </w:tcPr>
          <w:p>
            <w:pPr>
              <w:jc w:val="center"/>
              <w:ind w:left="655"/>
              <w:spacing w:after="0" w:line="142" w:lineRule="exact"/>
              <w:rPr>
                <w:sz w:val="20"/>
                <w:szCs w:val="20"/>
                <w:color w:val="auto"/>
              </w:rPr>
            </w:pPr>
            <w:r>
              <w:rPr>
                <w:rFonts w:ascii="Arial" w:cs="Arial" w:eastAsia="Arial" w:hAnsi="Arial"/>
                <w:sz w:val="14"/>
                <w:szCs w:val="14"/>
                <w:b w:val="1"/>
                <w:bCs w:val="1"/>
                <w:color w:val="auto"/>
                <w:w w:val="90"/>
              </w:rPr>
              <w:t>(In thousands, except percentage)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109,980</w:t>
            </w:r>
          </w:p>
        </w:tc>
        <w:tc>
          <w:tcPr>
            <w:tcW w:w="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417,111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668,842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Add: loss from non-China operations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60,193</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52,261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43,266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from China operations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170,173</w:t>
            </w:r>
          </w:p>
        </w:tc>
        <w:tc>
          <w:tcPr>
            <w:tcW w:w="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469,372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712,108</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Income tax expense applicable to China operations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4,316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66,746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96,222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for China operations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r>
    </w:tbl>
    <w:p>
      <w:pPr>
        <w:spacing w:after="0" w:line="202"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The Company generated the majority of its operating income from PRC operations and has recorded income tax provision for the periods presented. Stock-based compensation was recorded in the Company’s loss from non-China operations. Loss from non-China operations in 2016 included a loss of $23.8 million from investment impairments.</w:t>
      </w:r>
    </w:p>
    <w:p>
      <w:pPr>
        <w:spacing w:after="0" w:line="181" w:lineRule="exact"/>
        <w:rPr>
          <w:sz w:val="20"/>
          <w:szCs w:val="20"/>
          <w:color w:val="auto"/>
        </w:rPr>
      </w:pPr>
    </w:p>
    <w:p>
      <w:pPr>
        <w:ind w:right="60" w:firstLine="510"/>
        <w:spacing w:after="0" w:line="302" w:lineRule="auto"/>
        <w:rPr>
          <w:sz w:val="20"/>
          <w:szCs w:val="20"/>
          <w:color w:val="auto"/>
        </w:rPr>
      </w:pPr>
      <w:r>
        <w:rPr>
          <w:rFonts w:ascii="Arial" w:cs="Arial" w:eastAsia="Arial" w:hAnsi="Arial"/>
          <w:sz w:val="16"/>
          <w:szCs w:val="16"/>
          <w:color w:val="auto"/>
        </w:rPr>
        <w:t>Commencing on January 1, 2018, in order to enhance comparability with industry peers, income taxes payable has been presented as a single line item in balance sheet as opposed to being part of accounts payable. To conform to current period presentation, the relevant amount of $70.9 million as of December 31, 2017 has been reclassified. The impact to consolidated statement of cash flows was a reclassification of $5.1 million, $62.3 million and $21.0 million from accounts payable to income taxes payable included in operating activities for the years ended December 31, 2016, 2017 and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right="660" w:firstLine="555"/>
        <w:spacing w:after="0" w:line="277" w:lineRule="auto"/>
        <w:rPr>
          <w:sz w:val="20"/>
          <w:szCs w:val="20"/>
          <w:color w:val="auto"/>
        </w:rPr>
      </w:pPr>
      <w:r>
        <w:rPr>
          <w:rFonts w:ascii="Arial" w:cs="Arial" w:eastAsia="Arial" w:hAnsi="Arial"/>
          <w:sz w:val="18"/>
          <w:szCs w:val="18"/>
          <w:color w:val="auto"/>
        </w:rPr>
        <w:t>Under the current tax laws of the Cayman Islands, the Company is not subject to tax on income or capital gain. In addition, upon payments of dividends by the Company to its shareholders, no Cayman Islands withholding tax is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Weibo HK is subject to taxes in Hong Kong at 16.5% for all the periods presented. As of December 31, 2018, the Company’s Hong Kong subsidiary had a net operating loss of $1.4 million, which can be carried forward indefinitely to offset future taxable income. Also as of December 31, 2018, deferred tax assets of Weibo HK consist mainly of net operating loss carried forward, for which a full valuation allowance was provided. Management believes it is more likely than not that these assets will not be realized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225"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 xml:space="preserve">Effective January 1, 2008, the Enterprise Income Tax Law (the “EIT Law”) in China unifies the enterprise income tax rate for the entities incorporated in China at 25%, unless they are eligible for preferential tax treatment. On February 22, 2008, relevant governmental regulatory authorities released the qualification criteria, application procedures and assessment processes for “software enterprise,” which can enjoy an income tax exemption for two years beginning with its first profitable year and a 50% tax reduction, at a rate of 12.5% for the subsequent three years. The Group’s WFOE qualifies as a software enterprise and, thus, enjoyed an income tax exemption in 2015 and 2016, and a reduced enterprise income tax rate of 12.5% in 2017 and 2018. </w:t>
      </w:r>
      <w:r>
        <w:rPr>
          <w:rFonts w:ascii="Arial" w:cs="Arial" w:eastAsia="Arial" w:hAnsi="Arial"/>
          <w:sz w:val="16"/>
          <w:szCs w:val="16"/>
          <w:color w:val="auto"/>
        </w:rPr>
        <w:t>In late 2018,</w:t>
      </w:r>
      <w:r>
        <w:rPr>
          <w:rFonts w:ascii="Arial" w:cs="Arial" w:eastAsia="Arial" w:hAnsi="Arial"/>
          <w:sz w:val="17"/>
          <w:szCs w:val="17"/>
          <w:color w:val="auto"/>
        </w:rPr>
        <w:t xml:space="preserve"> Weibo Technology was approved to be qualified as a “key software enterprise” for 2017 and was entitled to enjoy a further reduced preferential tax rate of 10% for 2017. Weibo Technology used the preferential tax treatment of its “key software enterprise” status of 2017 in 2018. The qualification as a “key software enterprise” is subject to annual evaluation and approval by the relevant authorities in China and the Group will only recognize the preferential tax treatment of “key software enterprise” status when approval from the relevant authorities is obtained.</w:t>
      </w:r>
    </w:p>
    <w:p>
      <w:pPr>
        <w:spacing w:after="0" w:line="182" w:lineRule="exact"/>
        <w:rPr>
          <w:sz w:val="20"/>
          <w:szCs w:val="20"/>
          <w:color w:val="auto"/>
        </w:rPr>
      </w:pPr>
    </w:p>
    <w:p>
      <w:pPr>
        <w:ind w:right="20" w:firstLine="574"/>
        <w:spacing w:after="0" w:line="271" w:lineRule="auto"/>
        <w:rPr>
          <w:sz w:val="20"/>
          <w:szCs w:val="20"/>
          <w:color w:val="auto"/>
        </w:rPr>
      </w:pPr>
      <w:r>
        <w:rPr>
          <w:rFonts w:ascii="Arial" w:cs="Arial" w:eastAsia="Arial" w:hAnsi="Arial"/>
          <w:sz w:val="17"/>
          <w:szCs w:val="17"/>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be considered a resident enterprise for PRC tax purposes. However, due to limited guidance and implementation history of the EIT Law, should Weibo be treated as a resident enterprise for PRC tax purposes, the Company will be subject to PRC tax on worldwide income at a uniform tax rate of 25% retroactive to January 1, 2008.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EIT Law also imposes a withholding income tax rate of 10% on dividends distributed by a WFOE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Mainland China and Hong Kong Special Administrative Region on the Avoidance of Double Taxation and Prevention of Fiscal Evasion in August 2006, dividends paid by a WFOE in China to its immediate holding company in Hong Kong will be subject to withholding tax at a rate of no more than 5% (if the foreign investor owns directly at least 25% of the shares of the WFOE). The State Administration of Taxation further promulgated Circular 601 on October 27, 2009, which provides that tax treaty benefits will be denied to “conduit” or shell companies without business substance and that a beneficial ownership analysis will be used based on a “substance-over-form” principle to determine whether or not to grant the tax treaty benefits.</w:t>
      </w:r>
    </w:p>
    <w:p>
      <w:pPr>
        <w:spacing w:after="0" w:line="178"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The operations of the Group’s WFOE in China is invested and held by Weibo HK. If the Company is regarded as a non-resident enterprise and Weibo HK is regarded as a resident enterprise, then Weibo HK may be required to pay a 10% withholding tax on any dividends payable to the Company. If Weibo HK is regarded as a non-resident enterprise, then Weibo Technology may be required to pay a 5% withholding tax for any dividends payable to Weibo HK. However, it is still unclear at this stage whether Circular 601 applies to dividends from Weibo Technology paid to Weibo HK. If Weibo HK were not considered as “beneficial owners” of any dividends from Weibo Technology, the dividends payable to Weibo HK would be subject to a withholding tax of 10%. In accordance with accounting guidance, all undistributed earnings are presumed to be transferred to Weibo Corporation and are subject to the withholding taxes. The current policy approved by the Company’s board of directors allows the Group to distribute PRC earnings offshore only if the Group does not have to pay a dividend tax. As of December 31, 2018, the Group did not record any withholding tax for its PRC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income tax expenses for China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current and deferred portion of income tax expenses of the Company’s China subsidiaries, VIEs and VIEs’ subsidiaries: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7"/>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(benefits)/provisions</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(4,630)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income tax expenses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68,249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expenses</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4,316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66,746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the statutory tax rate to the effective tax rate for China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reconciliation between the statutory EIT rate and the effective tax rate for China operations:</w:t>
      </w:r>
    </w:p>
    <w:p>
      <w:pPr>
        <w:spacing w:after="0" w:line="217"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Statutory EIT rate</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line="216" w:lineRule="exact"/>
              <w:rPr>
                <w:sz w:val="20"/>
                <w:szCs w:val="20"/>
                <w:color w:val="auto"/>
              </w:rPr>
            </w:pPr>
            <w:r>
              <w:rPr>
                <w:rFonts w:ascii="Arial" w:cs="Arial" w:eastAsia="Arial" w:hAnsi="Arial"/>
                <w:sz w:val="18"/>
                <w:szCs w:val="18"/>
                <w:color w:val="auto"/>
              </w:rPr>
              <w:t>Effect on tax holiday and preferential tax treatment</w:t>
            </w:r>
            <w:r>
              <w:rPr>
                <w:rFonts w:ascii="Arial" w:cs="Arial" w:eastAsia="Arial" w:hAnsi="Arial"/>
                <w:sz w:val="23"/>
                <w:szCs w:val="23"/>
                <w:color w:val="auto"/>
                <w:vertAlign w:val="superscript"/>
              </w:rPr>
              <w:t>(1)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(29.6)%</w:t>
            </w:r>
          </w:p>
        </w:tc>
        <w:tc>
          <w:tcPr>
            <w:tcW w:w="9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9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Effective tax rate for China operations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9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2380" w:hanging="5532"/>
        <w:spacing w:after="0" w:line="528" w:lineRule="auto"/>
        <w:tabs>
          <w:tab w:leader="none" w:pos="25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Included the impact of Weibo Technology’s preferential tax treatment of “key software enterprise” status of 2017 in 2018.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provision for income taxes for the years ended December 31, 2016, 2017 and 2018 differs from the amounts computed by applying the statutory EIT rate primarily due to the tax exemption and preferential tax treatment of the WFOE, Weibo Technology, as a qualified software enterprise (key software enterprise status for 2017) for the periods presented. For the year ended December 31, 2016, Weibo Technology was tax exempted for $50.4 million. For the year ended December 31, 2017 and 2018, Weibo Technology enjoyed a tax reduction of $52.6 million and $77.2 million, respectively, due to the preferential tax treatment. It also recognized the preferential tax treatment of $10.8 million of key software enterprise status for 2017 in 2018. The tax exemption and preferential tax treatment in the three-year period ended December 31, 2018 resulted in an effect of $0.23, $0.25 and $0.39 on basic net income per share in 2016, 2017 and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significant components of deferred tax assets and liabilities for China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Net operating loss carry forwards</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10,280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Depreciation, accounts receivable, accrued and other liabilities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19,931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 (included in other assets)</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Acquired intangible assets</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Investment gain</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(i) future reversals of existing taxable temporary differences; (ii) future taxable income exclusive of reversing temporary differences and carry forwards; and (iii) tax planning strategies. The valuation allowance on deferred tax assets as of December 31, 2017 and 2018 was $21.9 million and $17.6 million, respectively. The change in valuation allowance was primarily due to bad debt expenses, investment impairment charges, as well as the expiration of net operating loss carry forward. Historically, deferred tax assets were valued using the statutory rate of 25%. As of December 31, 2017 and 2018, the Group had net operating loss carry forwards for China operations totaling $41.1 million and $16.7 million, respectively, for which full valuation allowance was provided. In 2018, $18.6 million of the net operating loss carry forwards expired and none was utilized. As of December 31, 2018, the net operating loss resulting from the Company’s carve-out from SINA has fully expired. Net operating loss carry forwards for China operations as of December 31, 2018 will expire, if unused, in the years ending December 31, 2019 through December 31, 2023.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significant related parties and their relationships with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280" w:type="dxa"/>
            <w:vAlign w:val="bottom"/>
          </w:tcPr>
          <w:p>
            <w:pPr>
              <w:spacing w:after="0"/>
              <w:rPr>
                <w:sz w:val="14"/>
                <w:szCs w:val="14"/>
                <w:color w:val="auto"/>
              </w:rPr>
            </w:pPr>
          </w:p>
        </w:tc>
        <w:tc>
          <w:tcPr>
            <w:tcW w:w="9420" w:type="dxa"/>
            <w:vAlign w:val="bottom"/>
          </w:tcPr>
          <w:p>
            <w:pPr>
              <w:ind w:left="3740"/>
              <w:spacing w:after="0"/>
              <w:rPr>
                <w:sz w:val="20"/>
                <w:szCs w:val="20"/>
                <w:color w:val="auto"/>
              </w:rPr>
            </w:pPr>
            <w:r>
              <w:rPr>
                <w:rFonts w:ascii="Arial" w:cs="Arial" w:eastAsia="Arial" w:hAnsi="Arial"/>
                <w:sz w:val="14"/>
                <w:szCs w:val="14"/>
                <w:b w:val="1"/>
                <w:bCs w:val="1"/>
                <w:color w:val="auto"/>
              </w:rPr>
              <w:t>Relationship with the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SINA</w:t>
            </w:r>
          </w:p>
        </w:tc>
        <w:tc>
          <w:tcPr>
            <w:tcW w:w="28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Parent and affiliates under common control.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Alibaba</w:t>
            </w:r>
          </w:p>
        </w:tc>
        <w:tc>
          <w:tcPr>
            <w:tcW w:w="9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Strategic partner and significant shareholder of the Company.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Matching loan between Weibo and SINA.</w:t>
      </w:r>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January 2017, the Company and its certain subsidiary entered into one-year loan agreements with SINA and SINA subsidiary, pursuant to which the Company is entitled to draw down U.S. dollar-denominated loan from SINA and a SINA subsidiary is entitled to draw down equivalent RMB-denominated loan from the Company’s subsidiary, to facilitate each other’s business operations. All of the loans carried a fixed rate of interest equal to the current market interest rate as of the dates when the principal was drawn down.</w:t>
      </w:r>
    </w:p>
    <w:p>
      <w:pPr>
        <w:spacing w:after="0" w:line="18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For the year ended December 31, 2017, interest income that the Group earned from such RMB-denominated loans to SINA was $1.7 million, and interest expense that the Group paid for such U.S. dollar-denominated loans from SINA was $1.5 million, respectively. As of December 31, 2017, the Company and its subsidiary have settled both loans with SINA and SINA subsidiary with payment of U.S. dollar-denominated principal and interest expense of $61.5 million and receipt of RMB-denominated principal and interest income of $64.0 million, respectively.</w:t>
      </w:r>
    </w:p>
    <w:p>
      <w:pPr>
        <w:spacing w:after="0" w:line="17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Besides the matching loans, SINA made an additional $2.0 million short-term loan to Weibo in 2017, which was repaid to SINA in 2018. In 2018, the Group entered in to a series of one-year loan agreements with SINA pursuant to which SINA is entitled to borrow from the Group to facilitate SINA’s business operations. SINA has withdrawn a total of $149.5 million loan from the Group and repaid $101.1 million to the Group for the year ended December 31, 2018. As of December 31, 2018, the loan to SINA was $43.6 million.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significant related party transactions with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235"/>
              <w:spacing w:after="0" w:line="142"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center"/>
              <w:ind w:right="29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9"/>
              </w:rPr>
              <w:t>Transactions with SINA</w:t>
            </w:r>
          </w:p>
        </w:tc>
        <w:tc>
          <w:tcPr>
            <w:tcW w:w="49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line="216" w:lineRule="exact"/>
              <w:rPr>
                <w:sz w:val="20"/>
                <w:szCs w:val="20"/>
                <w:color w:val="auto"/>
              </w:rPr>
            </w:pPr>
            <w:r>
              <w:rPr>
                <w:rFonts w:ascii="Arial" w:cs="Arial" w:eastAsia="Arial" w:hAnsi="Arial"/>
                <w:sz w:val="18"/>
                <w:szCs w:val="18"/>
                <w:color w:val="auto"/>
              </w:rPr>
              <w:t>Revenue billed through/for service provided to SINA</w:t>
            </w:r>
            <w:r>
              <w:rPr>
                <w:rFonts w:ascii="Arial" w:cs="Arial" w:eastAsia="Arial" w:hAnsi="Arial"/>
                <w:sz w:val="23"/>
                <w:szCs w:val="23"/>
                <w:color w:val="auto"/>
                <w:vertAlign w:val="superscript"/>
              </w:rPr>
              <w:t>(1)</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39,285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64,093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90,645</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Costs and expenses allocated from SINA</w:t>
            </w:r>
            <w:r>
              <w:rPr>
                <w:rFonts w:ascii="Arial" w:cs="Arial" w:eastAsia="Arial" w:hAnsi="Arial"/>
                <w:sz w:val="23"/>
                <w:szCs w:val="23"/>
                <w:color w:val="auto"/>
                <w:vertAlign w:val="superscript"/>
              </w:rPr>
              <w:t>(2)</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25,703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41,136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47,334</w:t>
            </w: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Interest income on matching loan to SINA</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1,735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matching loan from SINA</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1,537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Interest income on loans to SINA</w:t>
            </w: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500" w:right="100" w:hanging="492"/>
        <w:spacing w:after="0" w:line="277" w:lineRule="auto"/>
        <w:tabs>
          <w:tab w:leader="none" w:pos="89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years ended December 31, 2016, 2017 and 2018, the Group charged $39.3 million, $64.1 million and $90.6 million for services provided to SINA or to third parties billed through SINA, respectively.</w:t>
      </w:r>
    </w:p>
    <w:p>
      <w:pPr>
        <w:spacing w:after="0" w:line="170" w:lineRule="exact"/>
        <w:rPr>
          <w:rFonts w:ascii="Arial" w:cs="Arial" w:eastAsia="Arial" w:hAnsi="Arial"/>
          <w:sz w:val="18"/>
          <w:szCs w:val="18"/>
          <w:color w:val="auto"/>
        </w:rPr>
      </w:pPr>
    </w:p>
    <w:p>
      <w:pPr>
        <w:jc w:val="both"/>
        <w:ind w:left="580" w:right="380" w:hanging="572"/>
        <w:spacing w:after="0" w:line="312" w:lineRule="auto"/>
        <w:tabs>
          <w:tab w:leader="none" w:pos="89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Costs and expenses allocated from SINA represented the charges for certain services provided by SINA’s affiliates and charged to the Group using actual cost allocation based on proportional utilization (see Note 1). In addition to the allocated costs and expenses, SINA also billed $20.3 million, $22.9 million, and $23.4 million for other costs and expenses incurred by Weibo but paid by SINA in 2016, 2017 and 2018,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Transactions with Alibaba</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Advertising and marketing services provided to Alibaba</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57,908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0"/>
              <w:spacing w:after="0"/>
              <w:rPr>
                <w:sz w:val="20"/>
                <w:szCs w:val="20"/>
                <w:color w:val="auto"/>
              </w:rPr>
            </w:pPr>
            <w:r>
              <w:rPr>
                <w:rFonts w:ascii="Arial" w:cs="Arial" w:eastAsia="Arial" w:hAnsi="Arial"/>
                <w:sz w:val="18"/>
                <w:szCs w:val="18"/>
                <w:color w:val="auto"/>
              </w:rPr>
              <w:t>84,688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117,696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Services provided by Alibaba</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32,734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47,642</w:t>
            </w:r>
          </w:p>
        </w:tc>
      </w:tr>
      <w:tr>
        <w:trPr>
          <w:trHeight w:val="432"/>
        </w:trPr>
        <w:tc>
          <w:tcPr>
            <w:tcW w:w="6640" w:type="dxa"/>
            <w:vAlign w:val="bottom"/>
          </w:tcPr>
          <w:p>
            <w:pPr>
              <w:ind w:left="560"/>
              <w:spacing w:after="0"/>
              <w:rPr>
                <w:sz w:val="20"/>
                <w:szCs w:val="20"/>
                <w:color w:val="auto"/>
              </w:rPr>
            </w:pPr>
            <w:r>
              <w:rPr>
                <w:rFonts w:ascii="Arial" w:cs="Arial" w:eastAsia="Arial" w:hAnsi="Arial"/>
                <w:sz w:val="18"/>
                <w:szCs w:val="18"/>
                <w:color w:val="auto"/>
              </w:rPr>
              <w:t>The following sets forth related party outstanding balance: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2017</w:t>
            </w: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Amount due from SINA</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16,356</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105,319</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Accounts receivable due from Alibaba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0"/>
              <w:spacing w:after="0"/>
              <w:rPr>
                <w:sz w:val="20"/>
                <w:szCs w:val="20"/>
                <w:color w:val="auto"/>
              </w:rPr>
            </w:pPr>
            <w:r>
              <w:rPr>
                <w:rFonts w:ascii="Arial" w:cs="Arial" w:eastAsia="Arial" w:hAnsi="Arial"/>
                <w:sz w:val="18"/>
                <w:szCs w:val="18"/>
                <w:color w:val="auto"/>
              </w:rPr>
              <w:t>42,832</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580" w:right="20" w:hanging="572"/>
        <w:spacing w:after="0" w:line="259" w:lineRule="auto"/>
        <w:tabs>
          <w:tab w:leader="none" w:pos="8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Group uses amount due from/to SINA to settle balances arising from cost and expenses allocated from SINA based on proportional utilization, other expenditures incurred by the Weibo business but paid by SINA and third-party customer and supplier balances settled through SINA, as well as business transactions between Weibo and SINA. As of December 31, 2018, the amount due from SINA also included loans to SINA of $43.6 million at an annual interest rate of 4.8%.</w:t>
      </w:r>
    </w:p>
    <w:p>
      <w:pPr>
        <w:spacing w:after="0" w:line="187"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Other related parties mainly include investee companies on which SINA or Weibo has significant influence. These investees are mainly high-tech companies operating in different internet-related industries, such as short video applications, social and new media marketing services and so on. For the years ended December 31, 2016, 2017 and 2018, advertising and marketing revenues generated from other related parties were $45.6 million, $71.6 million and $130.2 million, value-added services revenues from other related parties were $0.6 million, $21.4 million and $24.1 million, and the Group received promotional services from other related parties amounting to approximately $10.6 million, $4.1 million and $9.3 million, respectively. As of December 31, 2017 and 2018, net accounts receivable due from other related parties was $29.7 million and $130.8 million, accounts payable due to other related parties were $12.2 million and $31.2 million, and accrued and other liabilities due to other related parties were $5.0 million and $14.4 million, respectively. Within other related parties, one related party that is an equity investee in the short video business contributed $53.9 million of advertising and marketing revenues in 2018 and represented $80.9 million of accounts receivable due from other related parties at December 31, 2018.</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Contribution Plan</w:t>
      </w:r>
    </w:p>
    <w:p>
      <w:pPr>
        <w:spacing w:after="0" w:line="22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Company’s subsidiaries, VIEs and VIEs’ subsidiaries in China participate in a government-mandated, multi-employer, defined contribution plan, pursuant to which certain retirement, medical, housing and other welfare benefits are provided to employees. Chinese labor laws require the entities incorporated in China to pay to the local labor and welfare authorities a monthly contribution at a stated contribution rate based on the monthly basic compensation of qualified employees. The local labor bureau is responsible for meeting all retirement benefit obligations. The Group has no further commitments beyond its monthly contribution. For the years ended December 31, 2016, 2017 and 2018, the Group’s total contribution was $31.4 million, $38.0 million and $53.7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Basic net income per share is computed using the weighted average number of the ordinary shares outstanding during the period. Options and RSUs are not considered outstanding in the computation of basic earnings per share (“EPS”). Diluted EPS is computed using the weighted average number of ordinary shares and potential ordinary shares outstanding during the period under the treasury stock method. For the years ended December 31, 2016, 2017 and 2018, options to purchase ordinary shares and RSUs of 8.1 million, 4.8 million and 2.2 million, respectively, as well as the number of “if converted” shares related to convertible debt of 6.8 million in 2018, were recognized as dilutive factors and included in the calculation of diluted net income per share. For the years ended December 31, 2016, 2017 and 2018, options and RSUs which were anti-dilutive and excluded from the calculation of diluted net income per share were 0.03 million, nil and 0.06 million, respectively. For the year ended December 31, 2017, 1.2 million shares convertible from the convertible debt were anti-dilutive and excluded from the calculation of diluted net income per share.</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net income per share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ind w:left="47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5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gridSpan w:val="9"/>
          </w:tcPr>
          <w:p>
            <w:pPr>
              <w:jc w:val="center"/>
              <w:ind w:right="151"/>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calculation: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Weibo</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108,027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352,590</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ordinary shares outstanding</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223,751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Basic net income per share attributable to Weibo</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Diluted net income per share calculation: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Arial" w:cs="Arial" w:eastAsia="Arial" w:hAnsi="Arial"/>
                <w:sz w:val="18"/>
                <w:szCs w:val="18"/>
                <w:color w:val="auto"/>
              </w:rPr>
              <w:t>Net income attributable to Weibo</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108,027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352,590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Effect on interest expenses and amortized issuance cost of convertible debt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Arial" w:cs="Arial" w:eastAsia="Arial" w:hAnsi="Arial"/>
                <w:sz w:val="18"/>
                <w:szCs w:val="18"/>
                <w:color w:val="auto"/>
              </w:rPr>
              <w:t>Net income attributable for calculating diluted net income per share</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108,027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352,590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Arial" w:cs="Arial" w:eastAsia="Arial" w:hAnsi="Arial"/>
                <w:sz w:val="18"/>
                <w:szCs w:val="18"/>
                <w:color w:val="auto"/>
              </w:rPr>
              <w:t>Weighted average ordinary shares outstanding</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214,745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220,555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ordinary shares equivalents: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Effects of dilutive securities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Arial" w:cs="Arial" w:eastAsia="Arial" w:hAnsi="Arial"/>
                <w:sz w:val="18"/>
                <w:szCs w:val="18"/>
                <w:color w:val="auto"/>
              </w:rPr>
              <w:t>Unvested restricted share units</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debt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Shares used in computing diluted net income per share attributable to Weibo</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225,363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Weibo</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ind w:right="40" w:firstLine="510"/>
        <w:spacing w:after="0" w:line="276" w:lineRule="auto"/>
        <w:rPr>
          <w:sz w:val="20"/>
          <w:szCs w:val="20"/>
          <w:color w:val="auto"/>
        </w:rPr>
      </w:pPr>
      <w:r>
        <w:rPr>
          <w:rFonts w:ascii="Arial" w:cs="Arial" w:eastAsia="Arial" w:hAnsi="Arial"/>
          <w:sz w:val="17"/>
          <w:szCs w:val="17"/>
          <w:color w:val="auto"/>
        </w:rPr>
        <w:t>The Group currently operates and manages its business in two principal business segments globally—advertising and marketing services and value-added services. Information regarding the business segments provided to the Group’s chief operating decision makers (“CODM”), its Chief Executive Officer, is at the revenue level and the Group currently does not allocate operating costs or assets to its segments, as its CODM does not use such information to allocate resources or evaluate the performance of the operating segments. As substantially all of the Group’s revenues are derived from within the PRC and substantially all of the Group’s long-lived assets are located within the PRC, no geographical information is presented.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Group’s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jc w:val="right"/>
              <w:ind w:right="294"/>
              <w:spacing w:after="0"/>
              <w:rPr>
                <w:sz w:val="20"/>
                <w:szCs w:val="20"/>
                <w:color w:val="auto"/>
              </w:rPr>
            </w:pPr>
            <w:r>
              <w:rPr>
                <w:rFonts w:ascii="Arial" w:cs="Arial" w:eastAsia="Arial" w:hAnsi="Arial"/>
                <w:sz w:val="14"/>
                <w:szCs w:val="14"/>
                <w:b w:val="1"/>
                <w:bCs w:val="1"/>
                <w:color w:val="auto"/>
                <w:w w:val="99"/>
              </w:rPr>
              <w:t>Advertising &amp; Marketing</w:t>
            </w:r>
          </w:p>
        </w:tc>
        <w:tc>
          <w:tcPr>
            <w:tcW w:w="320" w:type="dxa"/>
            <w:vAlign w:val="bottom"/>
          </w:tcPr>
          <w:p>
            <w:pPr>
              <w:spacing w:after="0"/>
              <w:rPr>
                <w:sz w:val="14"/>
                <w:szCs w:val="14"/>
                <w:color w:val="auto"/>
              </w:rPr>
            </w:pPr>
          </w:p>
        </w:tc>
        <w:tc>
          <w:tcPr>
            <w:tcW w:w="1780" w:type="dxa"/>
            <w:vAlign w:val="bottom"/>
          </w:tcPr>
          <w:p>
            <w:pPr>
              <w:jc w:val="right"/>
              <w:ind w:right="314"/>
              <w:spacing w:after="0"/>
              <w:rPr>
                <w:sz w:val="20"/>
                <w:szCs w:val="20"/>
                <w:color w:val="auto"/>
              </w:rPr>
            </w:pPr>
            <w:r>
              <w:rPr>
                <w:rFonts w:ascii="Arial" w:cs="Arial" w:eastAsia="Arial" w:hAnsi="Arial"/>
                <w:sz w:val="14"/>
                <w:szCs w:val="14"/>
                <w:b w:val="1"/>
                <w:bCs w:val="1"/>
                <w:color w:val="auto"/>
                <w:w w:val="94"/>
              </w:rPr>
              <w:t>Value-added services</w:t>
            </w:r>
          </w:p>
        </w:tc>
        <w:tc>
          <w:tcPr>
            <w:tcW w:w="38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 thousand)</w:t>
            </w:r>
          </w:p>
        </w:tc>
        <w:tc>
          <w:tcPr>
            <w:tcW w:w="3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570,982</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84,818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996,745</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153,309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1,499,180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219,338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F-40</w:t>
            </w: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Profit Appropriation and Restricted Net Assets</w:t>
      </w:r>
    </w:p>
    <w:p>
      <w:pPr>
        <w:spacing w:after="0" w:line="22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Company’s subsidiaries, VIEs and VIEs’ subsidiaries in China are required to make appropriations to certain non-distributable reserve funds. In accordance with the laws applicable to China’s WFOE, its subsidiaries have to make appropriations from their after-tax profit (as determined under Generally Accepted Accounting Principles in the PRC (“PRC GAAP”) to non-distributable reserve funds including (i) general reserve fund, (ii) enterprise expansion fund and (iii) staff bonus and welfare fund. General reserve fund is at least 10% of the after-tax profits calculated in accordance with the PRC GAAP. Appropriation is not required if the reserve fund has reached 50% of the registered capital of the respective company. The appropriation of the other two reserve funds is at the Group’s discretion. At the same time, the Company’s VIE, in accordance with the China Company Laws, must make appropriations from their after-tax profit (as determined under the PRC GAAP) to non-distributable reserve funds including (i) statutory surplus fund, and (ii) discretionary surplus fund. Statutory surplus fund is at least 10% of the after-tax profits calculated in accordance with the PRC GAAP. Appropriation is not required if the reserve fund has reached 50% of the registered capital of the respective company.</w:t>
      </w:r>
    </w:p>
    <w:p>
      <w:pPr>
        <w:spacing w:after="0" w:line="182" w:lineRule="exact"/>
        <w:rPr>
          <w:sz w:val="20"/>
          <w:szCs w:val="20"/>
          <w:color w:val="auto"/>
        </w:rPr>
      </w:pPr>
    </w:p>
    <w:p>
      <w:pPr>
        <w:ind w:right="60" w:firstLine="510"/>
        <w:spacing w:after="0" w:line="264" w:lineRule="auto"/>
        <w:rPr>
          <w:sz w:val="20"/>
          <w:szCs w:val="20"/>
          <w:color w:val="auto"/>
        </w:rPr>
      </w:pPr>
      <w:r>
        <w:rPr>
          <w:rFonts w:ascii="Arial" w:cs="Arial" w:eastAsia="Arial" w:hAnsi="Arial"/>
          <w:sz w:val="18"/>
          <w:szCs w:val="18"/>
          <w:color w:val="auto"/>
        </w:rPr>
        <w:t>General reserve fund and statutory surplus fund are restricted for set off against losses, expansion of production and operation or increase in registered capital of the respective company. These reserves are not transferable to the Company in the form of cash dividends, loans or advances. These reserves are therefore not available for distribution except in liquidation.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2017 and 2018, the Group accrued approximately $73.6 million and $98.7 million in the reserve fund.</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Under the PRC laws and regulations, the subsidiaries, VIEs and VIEs’ subsidiaries incorporated in the PRC are restricted in their ability to transfer a portion of their net assets to the Group either in the form of dividends, loans or advances of the consolidated net assets. Even though the Group currently does not require any such dividends, loans or advances from the PRC subsidiaries, VIEs and VIEs’ subsidiaries for working capital and other funding purposes, the Group may in the future require additional cash resources from the PRC subsidiaries, VIEs and VIEs’ subsidiaries due to changes in business conditions, to fund future acquisitions and development, or merely declare and pay dividends to or distribution to its shareholders. Net assets subject to restriction for the Group amounted to $391.5 million, or 22.4% of the Group’s total consolidated net assets as of December 31, 2018.</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w:t>
      </w:r>
    </w:p>
    <w:p>
      <w:pPr>
        <w:spacing w:after="0" w:line="22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summarizes, for assets measured at fair value on a recurring basis, the respective fair value and the classification by level of input within the fair value hierarchy as of December 31, 2017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Fair Value Measurements</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gridSpan w:val="5"/>
          </w:tcPr>
          <w:p>
            <w:pPr>
              <w:jc w:val="right"/>
              <w:ind w:right="13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Active Market</w:t>
            </w: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6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2017:</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Bank time deposits*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791,730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791,730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equity securities**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4,279</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4,279</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796,009</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791,730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As of December 31, 2018:</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Bank time deposits*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591,269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591,269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Equity securities with readily determinable market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value **</w:t>
            </w: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1,476</w:t>
            </w:r>
          </w:p>
        </w:tc>
        <w:tc>
          <w:tcPr>
            <w:tcW w:w="16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5520" w:firstLine="8"/>
        <w:spacing w:after="0" w:line="563" w:lineRule="auto"/>
        <w:tabs>
          <w:tab w:leader="none" w:pos="1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Included in short-term investments on the Group’s consolidated balance sheets. ** Included in long-term investments on the Group’s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Group measures bank time deposits and available-for-sale securities/securities with readily determinable fair values on a recurring basis.</w:t>
      </w:r>
    </w:p>
    <w:p>
      <w:pPr>
        <w:spacing w:after="0" w:line="237"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The fair value of the Group’s available-for-sale securities/securities with readily determinable fair values are determined based on the quoted market price (Level 1). The fair value of the Group’s bank time deposits are determined based on the quoted market price for similar products (Level 2).</w:t>
      </w:r>
    </w:p>
    <w:p>
      <w:pPr>
        <w:spacing w:after="0" w:line="124"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The Group reviews its available-for-sale securities regularly to determine if an investment is impaired due to changes in quoted market price or other impairment indicators prior to 2018. For the years ended December 31, 2016 and 2017, impairment related to available-for-sale securities was $4.8 million and nil, respectively (see Note 4 for further information). With the adoption of new investment guidance under ASC 820, the available-for-sale securities were reclassified as investments with readily determinable fair values beginning January 1, 2018 with their fair value change recognized in earnings immediately. There will no longer be any impairment from an available-for-sale classification for equity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w:t>
      </w:r>
    </w:p>
    <w:p>
      <w:pPr>
        <w:spacing w:after="0" w:line="225"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For those investments without readily determinable fair value, the Group measures them at fair value when observable price changes are identified or impairment charge were recognized. The fair values of the Group’s privately held investments as disclosed are determined based on the discounted cash flow model using the discount curve of market interest rates or based on the similar transaction price in the market directly. The Group classifies the valuation techniques on those investments that use similar identifiable transaction prices as Level 2 of fair value measurements.</w:t>
      </w:r>
    </w:p>
    <w:p>
      <w:pPr>
        <w:spacing w:after="0" w:line="17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The Group measures equity method investments at fair value on a non-recurring basis only if an impairment charge is recognized. As of December 31, 2018, certain privately held investments were measured using significant unobservable inputs (Level 3) and written down from their respective carrying values to fair values, considering the investees’ financial performance, assumptions about future growth, and future financing plan, with impairment charges incurred and recorded in earnings for the year then ended. The impairment charges related to these investments were $35.4 million and $4.7 million for the years ended December 31, 2016 and 2017, respectively. The Group also recognized an impairment charge of $23.6 million for those investments without readily determinable fair values in 2018. The fair value of the privately held investments was measured based on discounted cash flow with unobservable inputs including the discount curve of market interest rates, which ranged from 12% to 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510"/>
        <w:spacing w:after="0" w:line="297" w:lineRule="auto"/>
        <w:rPr>
          <w:sz w:val="20"/>
          <w:szCs w:val="20"/>
          <w:color w:val="auto"/>
        </w:rPr>
      </w:pPr>
      <w:r>
        <w:rPr>
          <w:rFonts w:ascii="Arial" w:cs="Arial" w:eastAsia="Arial" w:hAnsi="Arial"/>
          <w:sz w:val="16"/>
          <w:szCs w:val="16"/>
          <w:color w:val="auto"/>
        </w:rPr>
        <w:t>The Group’s non-financial assets, such as intangible assets, goodwill and fixed assets, are measured at fair value only if they were determined to be impaired. In accordance with the Group’s policy to perform an impairment assessment of its goodwill on an annual basis as of the balance sheet date or when facts and circumstances warrant a review, the Group performed an impairment assessment on its goodwill by reporting unit annually. The Group concluded that no write-down was warranted for the years ended December 31, 2016 and 2017, respectively, and made an impairment charge of $10.6 million for the goodwill arising from certain previous acquisitions for the year ended December 31, 2018, and the remaining carrying value was nil after the impairment.</w:t>
      </w:r>
    </w:p>
    <w:p>
      <w:pPr>
        <w:spacing w:after="0" w:line="158" w:lineRule="exact"/>
        <w:rPr>
          <w:sz w:val="20"/>
          <w:szCs w:val="20"/>
          <w:color w:val="auto"/>
        </w:rPr>
      </w:pPr>
    </w:p>
    <w:p>
      <w:pPr>
        <w:jc w:val="both"/>
        <w:ind w:right="220" w:firstLine="510"/>
        <w:spacing w:after="0" w:line="264" w:lineRule="auto"/>
        <w:rPr>
          <w:sz w:val="20"/>
          <w:szCs w:val="20"/>
          <w:color w:val="auto"/>
        </w:rPr>
      </w:pPr>
      <w:r>
        <w:rPr>
          <w:rFonts w:ascii="Arial" w:cs="Arial" w:eastAsia="Arial" w:hAnsi="Arial"/>
          <w:sz w:val="18"/>
          <w:szCs w:val="18"/>
          <w:color w:val="auto"/>
        </w:rPr>
        <w:t>The carrying amount of cash and cash equivalents, short-term investments, accounts receivable due from third parties, accounts receivable due from Alibaba, accounts receivable due from other related parties, amount due from SINA, accounts payable, accrued and other liabilities approximates fair value because of their short-term nature.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Debt</w:t>
      </w:r>
    </w:p>
    <w:p>
      <w:pPr>
        <w:spacing w:after="0" w:line="22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October 2017, the Company issued $900 million in aggregate principal amount of 1.25% coupon interest convertible senior notes due on November 15, 2022 (“2022 Notes”) at par. The Notes may be converted into Weibo’s American depositary shares (“ADSs”), each representing one Class A ordinary share of the Company, at the option of the holders, which is equivalent to an initial conversion price of approximately US$133.27 per ADS, subject to adjustment. The conversion rate may be adjusted under certain circumstances, such as distribution of dividends and stock splits. In addition, upon a make-whole fundamental change prior to the maturity date of the notes, the Company will, under certain circumstances, increase the applicable conversion rate for a holder that elects to convert its notes in connection with such make-whole fundamental change.</w:t>
      </w:r>
    </w:p>
    <w:p>
      <w:pPr>
        <w:spacing w:after="0" w:line="178"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The net proceeds to the Company from the issuance of the 2022 Notes were $879.3 million, net of issuance cost of $20.7 million. The Company will pay cash interest at an annual rate of 1.25% on the 2022 Notes, payable semiannually in arrears in cash on May 15 and November 15 of each year, beginning May 15, 2018. The issuance costs of the 2022 Notes are being amortized to interest expense over the contractual life. For the years ended December 31, 2017 and 2018, the 2022 Notes related interest expenses were $2.7 million and $15.4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Operating lease commitments include the commitments under the lease agreements for the Group’s office premises. The Group leases its office facilities under non-cancelable operating leases with various expiration dates through 2023. For the years ended December 31, 2016, 2017 and 2018, lease expense was $14.4 million, $9.2 million and $11.2 million, respectively. Based on the current rental lease agreements, future minimum lease payments commitments as of December 31, 2018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Operating lease commitments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Less than One</w:t>
            </w:r>
          </w:p>
        </w:tc>
        <w:tc>
          <w:tcPr>
            <w:tcW w:w="240" w:type="dxa"/>
            <w:vAlign w:val="bottom"/>
          </w:tcPr>
          <w:p>
            <w:pPr>
              <w:spacing w:after="0"/>
              <w:rPr>
                <w:sz w:val="14"/>
                <w:szCs w:val="14"/>
                <w:color w:val="auto"/>
              </w:rPr>
            </w:pPr>
          </w:p>
        </w:tc>
        <w:tc>
          <w:tcPr>
            <w:tcW w:w="118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One to</w:t>
            </w:r>
          </w:p>
        </w:tc>
        <w:tc>
          <w:tcPr>
            <w:tcW w:w="320" w:type="dxa"/>
            <w:vAlign w:val="bottom"/>
          </w:tcPr>
          <w:p>
            <w:pPr>
              <w:spacing w:after="0"/>
              <w:rPr>
                <w:sz w:val="14"/>
                <w:szCs w:val="14"/>
                <w:color w:val="auto"/>
              </w:rPr>
            </w:pPr>
          </w:p>
        </w:tc>
        <w:tc>
          <w:tcPr>
            <w:tcW w:w="1120" w:type="dxa"/>
            <w:vAlign w:val="bottom"/>
          </w:tcPr>
          <w:p>
            <w:pPr>
              <w:jc w:val="center"/>
              <w:ind w:right="242"/>
              <w:spacing w:after="0"/>
              <w:rPr>
                <w:sz w:val="20"/>
                <w:szCs w:val="20"/>
                <w:color w:val="auto"/>
              </w:rPr>
            </w:pPr>
            <w:r>
              <w:rPr>
                <w:rFonts w:ascii="Arial" w:cs="Arial" w:eastAsia="Arial" w:hAnsi="Arial"/>
                <w:sz w:val="14"/>
                <w:szCs w:val="14"/>
                <w:b w:val="1"/>
                <w:bCs w:val="1"/>
                <w:color w:val="auto"/>
                <w:w w:val="94"/>
              </w:rPr>
              <w:t>Three to</w:t>
            </w:r>
          </w:p>
        </w:tc>
        <w:tc>
          <w:tcPr>
            <w:tcW w:w="3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1180" w:type="dxa"/>
            <w:vAlign w:val="bottom"/>
          </w:tcPr>
          <w:p>
            <w:pPr>
              <w:jc w:val="center"/>
              <w:ind w:right="164"/>
              <w:spacing w:after="0"/>
              <w:rPr>
                <w:sz w:val="20"/>
                <w:szCs w:val="20"/>
                <w:color w:val="auto"/>
              </w:rPr>
            </w:pPr>
            <w:r>
              <w:rPr>
                <w:rFonts w:ascii="Arial" w:cs="Arial" w:eastAsia="Arial" w:hAnsi="Arial"/>
                <w:sz w:val="14"/>
                <w:szCs w:val="14"/>
                <w:b w:val="1"/>
                <w:bCs w:val="1"/>
                <w:color w:val="auto"/>
                <w:w w:val="92"/>
              </w:rPr>
              <w:t>Three Years</w:t>
            </w:r>
          </w:p>
        </w:tc>
        <w:tc>
          <w:tcPr>
            <w:tcW w:w="320" w:type="dxa"/>
            <w:vAlign w:val="bottom"/>
          </w:tcPr>
          <w:p>
            <w:pPr>
              <w:spacing w:after="0"/>
              <w:rPr>
                <w:sz w:val="14"/>
                <w:szCs w:val="14"/>
                <w:color w:val="auto"/>
              </w:rPr>
            </w:pPr>
          </w:p>
        </w:tc>
        <w:tc>
          <w:tcPr>
            <w:tcW w:w="1120" w:type="dxa"/>
            <w:vAlign w:val="bottom"/>
          </w:tcPr>
          <w:p>
            <w:pPr>
              <w:jc w:val="center"/>
              <w:ind w:right="242"/>
              <w:spacing w:after="0"/>
              <w:rPr>
                <w:sz w:val="20"/>
                <w:szCs w:val="20"/>
                <w:color w:val="auto"/>
              </w:rPr>
            </w:pPr>
            <w:r>
              <w:rPr>
                <w:rFonts w:ascii="Arial" w:cs="Arial" w:eastAsia="Arial" w:hAnsi="Arial"/>
                <w:sz w:val="14"/>
                <w:szCs w:val="14"/>
                <w:b w:val="1"/>
                <w:bCs w:val="1"/>
                <w:color w:val="auto"/>
                <w:w w:val="91"/>
              </w:rPr>
              <w:t>Five Years</w:t>
            </w:r>
          </w:p>
        </w:tc>
        <w:tc>
          <w:tcPr>
            <w:tcW w:w="3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6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31,751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10,214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19,544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1,993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Purchase commitments mainly include minimum commitments for internet connection and marketing activities.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Purchase commitments as of December 31, 2018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Purchase commitments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Less than One</w:t>
            </w:r>
          </w:p>
        </w:tc>
        <w:tc>
          <w:tcPr>
            <w:tcW w:w="240" w:type="dxa"/>
            <w:vAlign w:val="bottom"/>
          </w:tcPr>
          <w:p>
            <w:pPr>
              <w:spacing w:after="0"/>
              <w:rPr>
                <w:sz w:val="14"/>
                <w:szCs w:val="14"/>
                <w:color w:val="auto"/>
              </w:rPr>
            </w:pPr>
          </w:p>
        </w:tc>
        <w:tc>
          <w:tcPr>
            <w:tcW w:w="118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One to</w:t>
            </w:r>
          </w:p>
        </w:tc>
        <w:tc>
          <w:tcPr>
            <w:tcW w:w="320" w:type="dxa"/>
            <w:vAlign w:val="bottom"/>
          </w:tcPr>
          <w:p>
            <w:pPr>
              <w:spacing w:after="0"/>
              <w:rPr>
                <w:sz w:val="14"/>
                <w:szCs w:val="14"/>
                <w:color w:val="auto"/>
              </w:rPr>
            </w:pPr>
          </w:p>
        </w:tc>
        <w:tc>
          <w:tcPr>
            <w:tcW w:w="1120" w:type="dxa"/>
            <w:vAlign w:val="bottom"/>
          </w:tcPr>
          <w:p>
            <w:pPr>
              <w:jc w:val="center"/>
              <w:ind w:right="242"/>
              <w:spacing w:after="0"/>
              <w:rPr>
                <w:sz w:val="20"/>
                <w:szCs w:val="20"/>
                <w:color w:val="auto"/>
              </w:rPr>
            </w:pPr>
            <w:r>
              <w:rPr>
                <w:rFonts w:ascii="Arial" w:cs="Arial" w:eastAsia="Arial" w:hAnsi="Arial"/>
                <w:sz w:val="14"/>
                <w:szCs w:val="14"/>
                <w:b w:val="1"/>
                <w:bCs w:val="1"/>
                <w:color w:val="auto"/>
                <w:w w:val="94"/>
              </w:rPr>
              <w:t>Three to</w:t>
            </w:r>
          </w:p>
        </w:tc>
        <w:tc>
          <w:tcPr>
            <w:tcW w:w="3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1180" w:type="dxa"/>
            <w:vAlign w:val="bottom"/>
          </w:tcPr>
          <w:p>
            <w:pPr>
              <w:jc w:val="center"/>
              <w:ind w:right="164"/>
              <w:spacing w:after="0"/>
              <w:rPr>
                <w:sz w:val="20"/>
                <w:szCs w:val="20"/>
                <w:color w:val="auto"/>
              </w:rPr>
            </w:pPr>
            <w:r>
              <w:rPr>
                <w:rFonts w:ascii="Arial" w:cs="Arial" w:eastAsia="Arial" w:hAnsi="Arial"/>
                <w:sz w:val="14"/>
                <w:szCs w:val="14"/>
                <w:b w:val="1"/>
                <w:bCs w:val="1"/>
                <w:color w:val="auto"/>
                <w:w w:val="92"/>
              </w:rPr>
              <w:t>Three Years</w:t>
            </w:r>
          </w:p>
        </w:tc>
        <w:tc>
          <w:tcPr>
            <w:tcW w:w="320" w:type="dxa"/>
            <w:vAlign w:val="bottom"/>
          </w:tcPr>
          <w:p>
            <w:pPr>
              <w:spacing w:after="0"/>
              <w:rPr>
                <w:sz w:val="14"/>
                <w:szCs w:val="14"/>
                <w:color w:val="auto"/>
              </w:rPr>
            </w:pPr>
          </w:p>
        </w:tc>
        <w:tc>
          <w:tcPr>
            <w:tcW w:w="1120" w:type="dxa"/>
            <w:vAlign w:val="bottom"/>
          </w:tcPr>
          <w:p>
            <w:pPr>
              <w:jc w:val="center"/>
              <w:ind w:right="242"/>
              <w:spacing w:after="0"/>
              <w:rPr>
                <w:sz w:val="20"/>
                <w:szCs w:val="20"/>
                <w:color w:val="auto"/>
              </w:rPr>
            </w:pPr>
            <w:r>
              <w:rPr>
                <w:rFonts w:ascii="Arial" w:cs="Arial" w:eastAsia="Arial" w:hAnsi="Arial"/>
                <w:sz w:val="14"/>
                <w:szCs w:val="14"/>
                <w:b w:val="1"/>
                <w:bCs w:val="1"/>
                <w:color w:val="auto"/>
                <w:w w:val="91"/>
              </w:rPr>
              <w:t>Five Years</w:t>
            </w:r>
          </w:p>
        </w:tc>
        <w:tc>
          <w:tcPr>
            <w:tcW w:w="3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6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568,852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564,339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4,394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2022 Notes represent the future maximum commitments relating to the principal amount and interests in connection with the issuance of $900 million in aggregate principal amount of 1.25% coupon interest convertible senior notes, which will mature on November 15,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2022 Notes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Less than One</w:t>
            </w:r>
          </w:p>
        </w:tc>
        <w:tc>
          <w:tcPr>
            <w:tcW w:w="240" w:type="dxa"/>
            <w:vAlign w:val="bottom"/>
          </w:tcPr>
          <w:p>
            <w:pPr>
              <w:spacing w:after="0"/>
              <w:rPr>
                <w:sz w:val="14"/>
                <w:szCs w:val="14"/>
                <w:color w:val="auto"/>
              </w:rPr>
            </w:pPr>
          </w:p>
        </w:tc>
        <w:tc>
          <w:tcPr>
            <w:tcW w:w="118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One to</w:t>
            </w:r>
          </w:p>
        </w:tc>
        <w:tc>
          <w:tcPr>
            <w:tcW w:w="320" w:type="dxa"/>
            <w:vAlign w:val="bottom"/>
          </w:tcPr>
          <w:p>
            <w:pPr>
              <w:spacing w:after="0"/>
              <w:rPr>
                <w:sz w:val="14"/>
                <w:szCs w:val="14"/>
                <w:color w:val="auto"/>
              </w:rPr>
            </w:pPr>
          </w:p>
        </w:tc>
        <w:tc>
          <w:tcPr>
            <w:tcW w:w="1120" w:type="dxa"/>
            <w:vAlign w:val="bottom"/>
          </w:tcPr>
          <w:p>
            <w:pPr>
              <w:jc w:val="center"/>
              <w:ind w:right="242"/>
              <w:spacing w:after="0"/>
              <w:rPr>
                <w:sz w:val="20"/>
                <w:szCs w:val="20"/>
                <w:color w:val="auto"/>
              </w:rPr>
            </w:pPr>
            <w:r>
              <w:rPr>
                <w:rFonts w:ascii="Arial" w:cs="Arial" w:eastAsia="Arial" w:hAnsi="Arial"/>
                <w:sz w:val="14"/>
                <w:szCs w:val="14"/>
                <w:b w:val="1"/>
                <w:bCs w:val="1"/>
                <w:color w:val="auto"/>
                <w:w w:val="94"/>
              </w:rPr>
              <w:t>Three to</w:t>
            </w:r>
          </w:p>
        </w:tc>
        <w:tc>
          <w:tcPr>
            <w:tcW w:w="3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1180" w:type="dxa"/>
            <w:vAlign w:val="bottom"/>
          </w:tcPr>
          <w:p>
            <w:pPr>
              <w:jc w:val="center"/>
              <w:ind w:right="164"/>
              <w:spacing w:after="0"/>
              <w:rPr>
                <w:sz w:val="20"/>
                <w:szCs w:val="20"/>
                <w:color w:val="auto"/>
              </w:rPr>
            </w:pPr>
            <w:r>
              <w:rPr>
                <w:rFonts w:ascii="Arial" w:cs="Arial" w:eastAsia="Arial" w:hAnsi="Arial"/>
                <w:sz w:val="14"/>
                <w:szCs w:val="14"/>
                <w:b w:val="1"/>
                <w:bCs w:val="1"/>
                <w:color w:val="auto"/>
                <w:w w:val="92"/>
              </w:rPr>
              <w:t>Three Years</w:t>
            </w:r>
          </w:p>
        </w:tc>
        <w:tc>
          <w:tcPr>
            <w:tcW w:w="320" w:type="dxa"/>
            <w:vAlign w:val="bottom"/>
          </w:tcPr>
          <w:p>
            <w:pPr>
              <w:spacing w:after="0"/>
              <w:rPr>
                <w:sz w:val="14"/>
                <w:szCs w:val="14"/>
                <w:color w:val="auto"/>
              </w:rPr>
            </w:pPr>
          </w:p>
        </w:tc>
        <w:tc>
          <w:tcPr>
            <w:tcW w:w="1120" w:type="dxa"/>
            <w:vAlign w:val="bottom"/>
          </w:tcPr>
          <w:p>
            <w:pPr>
              <w:jc w:val="center"/>
              <w:ind w:right="242"/>
              <w:spacing w:after="0"/>
              <w:rPr>
                <w:sz w:val="20"/>
                <w:szCs w:val="20"/>
                <w:color w:val="auto"/>
              </w:rPr>
            </w:pPr>
            <w:r>
              <w:rPr>
                <w:rFonts w:ascii="Arial" w:cs="Arial" w:eastAsia="Arial" w:hAnsi="Arial"/>
                <w:sz w:val="14"/>
                <w:szCs w:val="14"/>
                <w:b w:val="1"/>
                <w:bCs w:val="1"/>
                <w:color w:val="auto"/>
                <w:w w:val="91"/>
              </w:rPr>
              <w:t>Five Years</w:t>
            </w:r>
          </w:p>
        </w:tc>
        <w:tc>
          <w:tcPr>
            <w:tcW w:w="3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6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945,000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12,750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22,500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909,750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There are uncertainties regarding the legal basis of the Group’s ability to operate an Internet business in China. Although China has implemented a wide range of market-oriented economic reforms, the telecommunication, information and media industries remain highly regulated. Not only are such restrictions currently in place, the existing regulations are unclear as to which specific segments of these industries companies with foreign investors, including the Company, may operate. Therefore, the Group may be required to limit the scope of its operations in China, and this could have a material adverse effect on its financial position, results of operations and cash flows.</w:t>
      </w:r>
    </w:p>
    <w:p>
      <w:pPr>
        <w:spacing w:after="0" w:line="188"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June and August 2017, the Company and certain of its current and former directors and officers were named as defendants in two putative securities class actions filed in the United States District Court for the District of New Jersey, respectively. The actions - purportedly brought on behalf of a class of persons who allegedly suffered damages as a result of their trading in the Company’s ADSs between April 27 and June 22, 2017 or between April 28, 2016 and June 19, 2017, allege that the Company’s public filings contained material misstatements and omissions in violation of the U.S. federal securities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laws. On September 28, 2017, the court entered an order appointing a lead plaintiff and consolidating the two cases. On November 27, 2017, the lead plaintiff filed a consolidated class action complaint. On January 26, 2018, the Company and one individual defendant filed a motion to dismiss the amended complaint. </w:t>
      </w:r>
      <w:r>
        <w:rPr>
          <w:rFonts w:ascii="Arial" w:cs="Arial" w:eastAsia="Arial" w:hAnsi="Arial"/>
          <w:sz w:val="17"/>
          <w:szCs w:val="17"/>
          <w:color w:val="auto"/>
        </w:rPr>
        <w:t>On June 7, 2018, the court granted the motion to dismiss the class action complaint in its entirety with prejudice.</w:t>
      </w:r>
    </w:p>
    <w:p>
      <w:pPr>
        <w:spacing w:after="0" w:line="190"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There are no claims, lawsuits, investigations or proceedings, including unasserted claims that are probable to be assessed, that have in the recent past had, or to the Group’s knowledge, are reasonably possible to have, a material impact on the Group’s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Group has performed an evaluation of subsequent events through the date of this report, which is the date the financial statements were issued, with no other material events nor transactions needing recognition or disclosure found.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2"/>
          </w:tcPr>
          <w:p>
            <w:pPr>
              <w:ind w:left="2000"/>
              <w:spacing w:after="0"/>
              <w:rPr>
                <w:sz w:val="20"/>
                <w:szCs w:val="20"/>
                <w:color w:val="auto"/>
              </w:rPr>
            </w:pPr>
            <w:r>
              <w:rPr>
                <w:rFonts w:ascii="Arial" w:cs="Arial" w:eastAsia="Arial" w:hAnsi="Arial"/>
                <w:sz w:val="18"/>
                <w:szCs w:val="18"/>
                <w:b w:val="1"/>
                <w:bCs w:val="1"/>
                <w:color w:val="auto"/>
                <w:w w:val="95"/>
              </w:rPr>
              <w:t>Exhibit 8.1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gridSpan w:val="2"/>
          </w:tcPr>
          <w:p>
            <w:pPr>
              <w:ind w:left="3540"/>
              <w:spacing w:after="0"/>
              <w:rPr>
                <w:sz w:val="20"/>
                <w:szCs w:val="20"/>
                <w:color w:val="auto"/>
              </w:rPr>
            </w:pPr>
            <w:r>
              <w:rPr>
                <w:rFonts w:ascii="Arial" w:cs="Arial" w:eastAsia="Arial" w:hAnsi="Arial"/>
                <w:sz w:val="18"/>
                <w:szCs w:val="18"/>
                <w:b w:val="1"/>
                <w:bCs w:val="1"/>
                <w:color w:val="auto"/>
              </w:rPr>
              <w:t>List of Major Subsidiaries and Variable Interest Entities</w:t>
            </w: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880" w:type="dxa"/>
            <w:vAlign w:val="bottom"/>
            <w:gridSpan w:val="2"/>
          </w:tcPr>
          <w:p>
            <w:pPr>
              <w:ind w:left="540"/>
              <w:spacing w:after="0"/>
              <w:rPr>
                <w:sz w:val="20"/>
                <w:szCs w:val="20"/>
                <w:color w:val="auto"/>
              </w:rPr>
            </w:pPr>
            <w:r>
              <w:rPr>
                <w:rFonts w:ascii="Arial" w:cs="Arial" w:eastAsia="Arial" w:hAnsi="Arial"/>
                <w:sz w:val="14"/>
                <w:szCs w:val="14"/>
                <w:b w:val="1"/>
                <w:bCs w:val="1"/>
                <w:color w:val="auto"/>
              </w:rPr>
              <w:t>Jurisdiction of Organization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Weibo Hong Kong Limited (formerly known as T.CN Hong Kong Limited)</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Weibo Internet Technology (China) Co. Ltd.</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Weimeng Technology Co. Ltd.</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Weibo Interactive Internet Technology Co., Ltd.</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8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86" w:name="page187"/>
    <w:bookmarkEnd w:id="186"/>
    <w:p>
      <w:pPr>
        <w:jc w:val="right"/>
        <w:ind w:right="4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Gaofei Wang, certify that:</w:t>
      </w:r>
    </w:p>
    <w:p>
      <w:pPr>
        <w:spacing w:after="0" w:line="22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Weibo Corporation;</w:t>
      </w:r>
    </w:p>
    <w:p>
      <w:pPr>
        <w:spacing w:after="0" w:line="225" w:lineRule="exact"/>
        <w:rPr>
          <w:rFonts w:ascii="Arial" w:cs="Arial" w:eastAsia="Arial" w:hAnsi="Arial"/>
          <w:sz w:val="18"/>
          <w:szCs w:val="18"/>
          <w:color w:val="auto"/>
        </w:rPr>
      </w:pPr>
    </w:p>
    <w:p>
      <w:pPr>
        <w:jc w:val="both"/>
        <w:ind w:left="660" w:right="340" w:hanging="652"/>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652"/>
        <w:spacing w:after="0" w:line="30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 presented in this report;</w:t>
      </w:r>
    </w:p>
    <w:p>
      <w:pPr>
        <w:spacing w:after="0" w:line="146" w:lineRule="exact"/>
        <w:rPr>
          <w:rFonts w:ascii="Arial" w:cs="Arial" w:eastAsia="Arial" w:hAnsi="Arial"/>
          <w:sz w:val="17"/>
          <w:szCs w:val="17"/>
          <w:color w:val="auto"/>
        </w:rPr>
      </w:pPr>
    </w:p>
    <w:p>
      <w:pPr>
        <w:ind w:left="660" w:right="320" w:hanging="652"/>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1300" w:right="140" w:hanging="644"/>
        <w:spacing w:after="0" w:line="264" w:lineRule="auto"/>
        <w:tabs>
          <w:tab w:leader="none" w:pos="129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03"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300" w:hanging="644"/>
        <w:spacing w:after="0" w:line="264"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29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/s/Gaofei Wang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Gaofei Wang</w:t>
            </w:r>
          </w:p>
        </w:tc>
        <w:tc>
          <w:tcPr>
            <w:tcW w:w="574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87" w:name="page188"/>
    <w:bookmarkEnd w:id="187"/>
    <w:p>
      <w:pPr>
        <w:jc w:val="right"/>
        <w:ind w:right="4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Fei Cao, certify that:</w:t>
      </w:r>
    </w:p>
    <w:p>
      <w:pPr>
        <w:spacing w:after="0" w:line="225"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Weibo Corporation;</w:t>
      </w:r>
    </w:p>
    <w:p>
      <w:pPr>
        <w:spacing w:after="0" w:line="225" w:lineRule="exact"/>
        <w:rPr>
          <w:rFonts w:ascii="Arial" w:cs="Arial" w:eastAsia="Arial" w:hAnsi="Arial"/>
          <w:sz w:val="18"/>
          <w:szCs w:val="18"/>
          <w:color w:val="auto"/>
        </w:rPr>
      </w:pPr>
    </w:p>
    <w:p>
      <w:pPr>
        <w:jc w:val="both"/>
        <w:ind w:left="660" w:right="340" w:hanging="652"/>
        <w:spacing w:after="0" w:line="264"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652"/>
        <w:spacing w:after="0" w:line="308"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 presented in this report;</w:t>
      </w:r>
    </w:p>
    <w:p>
      <w:pPr>
        <w:spacing w:after="0" w:line="146" w:lineRule="exact"/>
        <w:rPr>
          <w:rFonts w:ascii="Arial" w:cs="Arial" w:eastAsia="Arial" w:hAnsi="Arial"/>
          <w:sz w:val="17"/>
          <w:szCs w:val="17"/>
          <w:color w:val="auto"/>
        </w:rPr>
      </w:pPr>
    </w:p>
    <w:p>
      <w:pPr>
        <w:jc w:val="both"/>
        <w:ind w:left="660" w:right="440" w:hanging="652"/>
        <w:spacing w:after="0" w:line="264"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1300" w:right="140" w:hanging="644"/>
        <w:spacing w:after="0" w:line="264" w:lineRule="auto"/>
        <w:tabs>
          <w:tab w:leader="none" w:pos="129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0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300" w:hanging="644"/>
        <w:spacing w:after="0" w:line="264"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29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Fei Cao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Fei Cao</w:t>
            </w:r>
          </w:p>
        </w:tc>
        <w:tc>
          <w:tcPr>
            <w:tcW w:w="574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Vice President, Finance</w:t>
            </w:r>
          </w:p>
        </w:tc>
        <w:tc>
          <w:tcPr>
            <w:tcW w:w="57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88" w:name="page189"/>
    <w:bookmarkEnd w:id="188"/>
    <w:p>
      <w:pPr>
        <w:jc w:val="right"/>
        <w:ind w:right="4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In connection with the Annual Report of Weibo Corporation (the “Company”) on Form 20-F for the fiscal year ended December 31, 2018 as filed with the Securities and Exchange Commission on the date hereof (the “Report”), I, Gaofei Wang,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1360" w:hanging="704"/>
        <w:spacing w:after="0"/>
        <w:tabs>
          <w:tab w:leader="none" w:pos="1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/s/Gaofei Wang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Gaofei Wang</w:t>
            </w:r>
          </w:p>
        </w:tc>
        <w:tc>
          <w:tcPr>
            <w:tcW w:w="574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89" w:name="page190"/>
    <w:bookmarkEnd w:id="189"/>
    <w:p>
      <w:pPr>
        <w:jc w:val="right"/>
        <w:ind w:right="40"/>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In connection with the Annual Report of Weibo Corporation (the “Company”) on Form 20-F for the fiscal year ended December 31, 2018 as filed with the Securities and Exchange Commission on the date hereof (the “Report”), I, Fei Cao, Vice President, Finance of the Company, certify, pursuant to 18 U.S.C. Section 1350, as adopted pursuant to Section 906 of the Sarbanes-Oxley Act of 2002, that to my knowledge:</w:t>
      </w:r>
    </w:p>
    <w:p>
      <w:pPr>
        <w:spacing w:after="0" w:line="166" w:lineRule="exact"/>
        <w:rPr>
          <w:sz w:val="20"/>
          <w:szCs w:val="20"/>
          <w:color w:val="auto"/>
        </w:rPr>
      </w:pPr>
    </w:p>
    <w:p>
      <w:pPr>
        <w:ind w:left="1360" w:hanging="704"/>
        <w:spacing w:after="0"/>
        <w:tabs>
          <w:tab w:leader="none" w:pos="13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Fei Cao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Fei Cao</w:t>
            </w:r>
          </w:p>
        </w:tc>
        <w:tc>
          <w:tcPr>
            <w:tcW w:w="574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Vice President, Finance</w:t>
            </w:r>
          </w:p>
        </w:tc>
        <w:tc>
          <w:tcPr>
            <w:tcW w:w="57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[Maples and Calder Letterhead]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8/F, QIHAO Plaza, No. 8 Xinyuan S.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29 April,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acted as legal advisers as to the laws of the Cayman Islands to Weibo Corporation, an exempted limited liability company incorporated in the Cayman Islands (the “Company”), in connection with the filing by the Company with the United States Securities and Exchange Commission (the “SEC”) of an annual report on Form 20-F for the year ended 31 December 2018 (the “Annual Report”).</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hereby consent to the reference to our firm under the headings “Item 10.B. Additional Information—Memorandum and Articles of Association” and “Item 10.E. Additional Information—Taxation—Cayman Islands Taxation” in the Annual Report, and we further consent to the incorporation by reference of the summary of our opinions under these headings into the Company’s registration statement on Form S-8 (File No. 333-199022) that was filed on 30 September 2014, pertaining to the Company’s 2010 Share Incentive Plan and 2014 Share Incentive Plan and the Company’s registration statement on Form S-8 (File No. No. 333-228525) pertaining to the Company’s 2014 Share Incentive Plan.</w:t>
      </w:r>
    </w:p>
    <w:p>
      <w:pPr>
        <w:spacing w:after="0" w:line="18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[TransAsia Lawyers Letterhead]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8/F, QIHAO Plaza, No. 8 Xinyuan S.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hereby consent to references to our name under the heading “Item 3.D. Key Information—Risk Factors—Risk Relating to Our Business”, “Item 4.B. Information on the Company—Business Overview—Regulation” and “Item 4.C. Information on the Company—Organizational Structure—Contractual Arrangements with Weimeng and Its Shareholders” in Weibo Corporation’s annual report on Form 20-F for the year ended December 31, 2018 (the “Annual Report”), and further consent to the incorporation by reference into the Registration Statement (Form S-8 No. 333-199022) pertaining to Weibo Corporation’s 2010 Share Incentive Plan and 2014 Share Incentive Plan and Registration Statement (Form S-8 No. 333-228525) pertaining to Weibo Corporation’s 2014 Share Incentive Plan, of the summary of our opinion under the heading “Item 4.B. Information on the Company—Business Overview—Regulation” and “Item 4.C. Information on the Company—Organizational Structure—Contractual Arrangements with Weimeng and Its Shareholders” in the Annual Report. We also consent to the filing of this consent letter with the U.S. Securities and Exchange Commission as an exhibit to the Annual Report.</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TransAsia Lawyers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TransAsia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333-199022 and 333-228525) of Weibo Corporation of our report dated April 29, 2019, relating to the consolidated financial statements and the effectiveness of internal control over financial reporting, which appears in this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o"/>
      <w:numFmt w:val="bullet"/>
      <w:start w:val="1"/>
    </w:lvl>
  </w:abstractNum>
  <w:abstractNum w:abstractNumId="1">
    <w:nsid w:val="25A70BF7"/>
    <w:multiLevelType w:val="hybridMultilevel"/>
    <w:lvl w:ilvl="0">
      <w:lvlJc w:val="left"/>
      <w:lvlText w:val="x"/>
      <w:numFmt w:val="bullet"/>
      <w:start w:val="1"/>
    </w:lvl>
  </w:abstractNum>
  <w:abstractNum w:abstractNumId="2">
    <w:nsid w:val="1DBABF00"/>
    <w:multiLevelType w:val="hybridMultilevel"/>
    <w:lvl w:ilvl="0">
      <w:lvlJc w:val="left"/>
      <w:lvlText w:val="o"/>
      <w:numFmt w:val="bullet"/>
      <w:start w:val="1"/>
    </w:lvl>
  </w:abstractNum>
  <w:abstractNum w:abstractNumId="3">
    <w:nsid w:val="4AD084E9"/>
    <w:multiLevelType w:val="hybridMultilevel"/>
    <w:lvl w:ilvl="0">
      <w:lvlJc w:val="left"/>
      <w:lvlText w:val="o"/>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1."/>
      <w:numFmt w:val="upperLetter"/>
      <w:start w:val="1"/>
    </w:lvl>
  </w:abstractNum>
  <w:abstractNum w:abstractNumId="9">
    <w:nsid w:val="15014ACB"/>
    <w:multiLevelType w:val="hybridMultilevel"/>
    <w:lvl w:ilvl="0">
      <w:lvlJc w:val="left"/>
      <w:lvlText w:val="(%1)"/>
      <w:numFmt w:val="decimal"/>
      <w:start w:val="1"/>
    </w:lvl>
  </w:abstractNum>
  <w:abstractNum w:abstractNumId="10">
    <w:nsid w:val="5F5E7FD0"/>
    <w:multiLevelType w:val="hybridMultilevel"/>
    <w:lvl w:ilvl="0">
      <w:lvlJc w:val="left"/>
      <w:lvlText w:val="(%1)"/>
      <w:numFmt w:val="decimal"/>
      <w:start w:val="3"/>
    </w:lvl>
  </w:abstractNum>
  <w:abstractNum w:abstractNumId="11">
    <w:nsid w:val="98A3148"/>
    <w:multiLevelType w:val="hybridMultilevel"/>
    <w:lvl w:ilvl="0">
      <w:lvlJc w:val="left"/>
      <w:lvlText w:val="%1."/>
      <w:numFmt w:val="upperLetter"/>
      <w:start w:val="2"/>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1."/>
      <w:numFmt w:val="upperLetter"/>
      <w:start w:val="1"/>
    </w:lvl>
  </w:abstractNum>
  <w:abstractNum w:abstractNumId="32">
    <w:nsid w:val="60B6DF70"/>
    <w:multiLevelType w:val="hybridMultilevel"/>
    <w:lvl w:ilvl="0">
      <w:lvlJc w:val="left"/>
      <w:lvlText w:val="%1."/>
      <w:numFmt w:val="upperLetter"/>
      <w:start w:val="2"/>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lvl w:ilvl="1">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1)"/>
      <w:numFmt w:val="lowerRoman"/>
      <w:start w:val="3"/>
    </w:lvl>
  </w:abstractNum>
  <w:abstractNum w:abstractNumId="48">
    <w:nsid w:val="3222E7CD"/>
    <w:multiLevelType w:val="hybridMultilevel"/>
    <w:lvl w:ilvl="0">
      <w:lvlJc w:val="left"/>
      <w:lvlText w:val="%1."/>
      <w:numFmt w:val="upperLetter"/>
      <w:start w:val="3"/>
    </w:lvl>
  </w:abstractNum>
  <w:abstractNum w:abstractNumId="49">
    <w:nsid w:val="74DE0EE3"/>
    <w:multiLevelType w:val="hybridMultilevel"/>
    <w:lvl w:ilvl="0">
      <w:lvlJc w:val="left"/>
      <w:lvlText w:val="(%1)"/>
      <w:numFmt w:val="decimal"/>
      <w:start w:val="1"/>
    </w:lvl>
  </w:abstractNum>
  <w:abstractNum w:abstractNumId="50">
    <w:nsid w:val="68EBC550"/>
    <w:multiLevelType w:val="hybridMultilevel"/>
    <w:lvl w:ilvl="0">
      <w:lvlJc w:val="left"/>
      <w:lvlText w:val="%1."/>
      <w:numFmt w:val="upperLetter"/>
      <w:start w:val="4"/>
    </w:lvl>
  </w:abstractNum>
  <w:abstractNum w:abstractNumId="51">
    <w:nsid w:val="2DF6D648"/>
    <w:multiLevelType w:val="hybridMultilevel"/>
    <w:lvl w:ilvl="0">
      <w:lvlJc w:val="left"/>
      <w:lvlText w:val="%1."/>
      <w:numFmt w:val="upperLetter"/>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decimal"/>
      <w:start w:val="3"/>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1."/>
      <w:numFmt w:val="upperLetter"/>
      <w:start w:val="2"/>
    </w:lvl>
  </w:abstractNum>
  <w:abstractNum w:abstractNumId="61">
    <w:nsid w:val="49DA307D"/>
    <w:multiLevelType w:val="hybridMultilevel"/>
    <w:lvl w:ilvl="0">
      <w:lvlJc w:val="left"/>
      <w:lvlText w:val="%1."/>
      <w:numFmt w:val="upperLetter"/>
      <w:start w:val="3"/>
    </w:lvl>
  </w:abstractNum>
  <w:abstractNum w:abstractNumId="62">
    <w:nsid w:val="7055A5F5"/>
    <w:multiLevelType w:val="hybridMultilevel"/>
    <w:lvl w:ilvl="0">
      <w:lvlJc w:val="left"/>
      <w:lvlText w:val="%1."/>
      <w:numFmt w:val="upperLetter"/>
      <w:start w:val="4"/>
    </w:lvl>
  </w:abstractNum>
  <w:abstractNum w:abstractNumId="63">
    <w:nsid w:val="5FB8370B"/>
    <w:multiLevelType w:val="hybridMultilevel"/>
    <w:lvl w:ilvl="0">
      <w:lvlJc w:val="left"/>
      <w:lvlText w:val="%1."/>
      <w:numFmt w:val="upperLetter"/>
      <w:start w:val="5"/>
    </w:lvl>
  </w:abstractNum>
  <w:abstractNum w:abstractNumId="64">
    <w:nsid w:val="50801EE1"/>
    <w:multiLevelType w:val="hybridMultilevel"/>
    <w:lvl w:ilvl="0">
      <w:lvlJc w:val="left"/>
      <w:lvlText w:val="%1."/>
      <w:numFmt w:val="upperLetter"/>
      <w:start w:val="6"/>
    </w:lvl>
  </w:abstractNum>
  <w:abstractNum w:abstractNumId="65">
    <w:nsid w:val="488AC1A"/>
    <w:multiLevelType w:val="hybridMultilevel"/>
    <w:lvl w:ilvl="0">
      <w:lvlJc w:val="left"/>
      <w:lvlText w:val="%1."/>
      <w:numFmt w:val="upperLetter"/>
      <w:start w:val="7"/>
    </w:lvl>
  </w:abstractNum>
  <w:abstractNum w:abstractNumId="66">
    <w:nsid w:val="5FB8011C"/>
    <w:multiLevelType w:val="hybridMultilevel"/>
    <w:lvl w:ilvl="0">
      <w:lvlJc w:val="left"/>
      <w:lvlText w:val="%1."/>
      <w:numFmt w:val="upperLetter"/>
      <w:start w:val="1"/>
    </w:lvl>
  </w:abstractNum>
  <w:abstractNum w:abstractNumId="67">
    <w:nsid w:val="6AA78F7F"/>
    <w:multiLevelType w:val="hybridMultilevel"/>
    <w:lvl w:ilvl="0">
      <w:lvlJc w:val="left"/>
      <w:lvlText w:val="%1."/>
      <w:numFmt w:val="upperLetter"/>
      <w:start w:val="2"/>
    </w:lvl>
  </w:abstractNum>
  <w:abstractNum w:abstractNumId="68">
    <w:nsid w:val="7672BD23"/>
    <w:multiLevelType w:val="hybridMultilevel"/>
    <w:lvl w:ilvl="0">
      <w:lvlJc w:val="left"/>
      <w:lvlText w:val="*"/>
      <w:numFmt w:val="bullet"/>
      <w:start w:val="1"/>
    </w:lvl>
  </w:abstractNum>
  <w:abstractNum w:abstractNumId="69">
    <w:nsid w:val="6FC75AF8"/>
    <w:multiLevelType w:val="hybridMultilevel"/>
    <w:lvl w:ilvl="0">
      <w:lvlJc w:val="left"/>
      <w:lvlText w:val="%1."/>
      <w:numFmt w:val="upperLetter"/>
      <w:start w:val="3"/>
    </w:lvl>
  </w:abstractNum>
  <w:abstractNum w:abstractNumId="70">
    <w:nsid w:val="6A5F7029"/>
    <w:multiLevelType w:val="hybridMultilevel"/>
    <w:lvl w:ilvl="0">
      <w:lvlJc w:val="left"/>
      <w:lvlText w:val="·"/>
      <w:numFmt w:val="bullet"/>
      <w:start w:val="1"/>
    </w:lvl>
  </w:abstractNum>
  <w:abstractNum w:abstractNumId="71">
    <w:nsid w:val="7D5E18F8"/>
    <w:multiLevelType w:val="hybridMultilevel"/>
    <w:lvl w:ilvl="0">
      <w:lvlJc w:val="left"/>
      <w:lvlText w:val="·"/>
      <w:numFmt w:val="bullet"/>
      <w:start w:val="1"/>
    </w:lvl>
  </w:abstractNum>
  <w:abstractNum w:abstractNumId="72">
    <w:nsid w:val="5F3534A4"/>
    <w:multiLevelType w:val="hybridMultilevel"/>
    <w:lvl w:ilvl="0">
      <w:lvlJc w:val="left"/>
      <w:lvlText w:val="·"/>
      <w:numFmt w:val="bullet"/>
      <w:start w:val="1"/>
    </w:lvl>
  </w:abstractNum>
  <w:abstractNum w:abstractNumId="73">
    <w:nsid w:val="73A1821B"/>
    <w:multiLevelType w:val="hybridMultilevel"/>
    <w:lvl w:ilvl="0">
      <w:lvlJc w:val="left"/>
      <w:lvlText w:val="%1."/>
      <w:numFmt w:val="upperLetter"/>
      <w:start w:val="4"/>
    </w:lvl>
  </w:abstractNum>
  <w:abstractNum w:abstractNumId="74">
    <w:nsid w:val="7DE67713"/>
    <w:multiLevelType w:val="hybridMultilevel"/>
    <w:lvl w:ilvl="0">
      <w:lvlJc w:val="left"/>
      <w:lvlText w:val="%1."/>
      <w:numFmt w:val="upperLetter"/>
      <w:start w:val="5"/>
    </w:lvl>
  </w:abstractNum>
  <w:abstractNum w:abstractNumId="75">
    <w:nsid w:val="555C55B5"/>
    <w:multiLevelType w:val="hybridMultilevel"/>
    <w:lvl w:ilvl="0">
      <w:lvlJc w:val="left"/>
      <w:lvlText w:val="·"/>
      <w:numFmt w:val="bullet"/>
      <w:start w:val="1"/>
    </w:lvl>
  </w:abstractNum>
  <w:abstractNum w:abstractNumId="76">
    <w:nsid w:val="3FA62ACA"/>
    <w:multiLevelType w:val="hybridMultilevel"/>
    <w:lvl w:ilvl="0">
      <w:lvlJc w:val="left"/>
      <w:lvlText w:val="*"/>
      <w:numFmt w:val="bullet"/>
      <w:start w:val="1"/>
    </w:lvl>
  </w:abstractNum>
  <w:abstractNum w:abstractNumId="77">
    <w:nsid w:val="14FCE74E"/>
    <w:multiLevelType w:val="hybridMultilevel"/>
    <w:lvl w:ilvl="0">
      <w:lvlJc w:val="left"/>
      <w:lvlText w:val="**"/>
      <w:numFmt w:val="bullet"/>
      <w:start w:val="1"/>
    </w:lvl>
  </w:abstractNum>
  <w:abstractNum w:abstractNumId="78">
    <w:nsid w:val="6A3DD3E8"/>
    <w:multiLevelType w:val="hybridMultilevel"/>
    <w:lvl w:ilvl="0">
      <w:lvlJc w:val="left"/>
      <w:lvlText w:val="(%1)"/>
      <w:numFmt w:val="decimal"/>
      <w:start w:val="1"/>
    </w:lvl>
  </w:abstractNum>
  <w:abstractNum w:abstractNumId="79">
    <w:nsid w:val="71C91298"/>
    <w:multiLevelType w:val="hybridMultilevel"/>
    <w:lvl w:ilvl="0">
      <w:lvlJc w:val="left"/>
      <w:lvlText w:val="%1."/>
      <w:numFmt w:val="upperLetter"/>
      <w:start w:val="1"/>
    </w:lvl>
  </w:abstractNum>
  <w:abstractNum w:abstractNumId="80">
    <w:nsid w:val="9DAF632"/>
    <w:multiLevelType w:val="hybridMultilevel"/>
    <w:lvl w:ilvl="0">
      <w:lvlJc w:val="left"/>
      <w:lvlText w:val="%1."/>
      <w:numFmt w:val="upperLetter"/>
      <w:start w:val="2"/>
    </w:lvl>
  </w:abstractNum>
  <w:abstractNum w:abstractNumId="81">
    <w:nsid w:val="53299938"/>
    <w:multiLevelType w:val="hybridMultilevel"/>
    <w:lvl w:ilvl="0">
      <w:lvlJc w:val="left"/>
      <w:lvlText w:val="(%1)"/>
      <w:numFmt w:val="decimal"/>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1)"/>
      <w:numFmt w:val="decimal"/>
      <w:start w:val="2"/>
    </w:lvl>
  </w:abstractNum>
  <w:abstractNum w:abstractNumId="84">
    <w:nsid w:val="1D545C4D"/>
    <w:multiLevelType w:val="hybridMultilevel"/>
    <w:lvl w:ilvl="0">
      <w:lvlJc w:val="left"/>
      <w:lvlText w:val="%1."/>
      <w:numFmt w:val="upperLetter"/>
      <w:start w:val="3"/>
    </w:lvl>
  </w:abstractNum>
  <w:abstractNum w:abstractNumId="85">
    <w:nsid w:val="59ADEA3D"/>
    <w:multiLevelType w:val="hybridMultilevel"/>
    <w:lvl w:ilvl="0">
      <w:lvlJc w:val="left"/>
      <w:lvlText w:val="%1."/>
      <w:numFmt w:val="upperLetter"/>
      <w:start w:val="1"/>
    </w:lvl>
  </w:abstractNum>
  <w:abstractNum w:abstractNumId="86">
    <w:nsid w:val="288F1A34"/>
    <w:multiLevelType w:val="hybridMultilevel"/>
    <w:lvl w:ilvl="0">
      <w:lvlJc w:val="left"/>
      <w:lvlText w:val="%1."/>
      <w:numFmt w:val="upperLetter"/>
      <w:start w:val="2"/>
    </w:lvl>
  </w:abstractNum>
  <w:abstractNum w:abstractNumId="87">
    <w:nsid w:val="2A155DBC"/>
    <w:multiLevelType w:val="hybridMultilevel"/>
    <w:lvl w:ilvl="0">
      <w:lvlJc w:val="left"/>
      <w:lvlText w:val="%1."/>
      <w:numFmt w:val="upperLetter"/>
      <w:start w:val="1"/>
    </w:lvl>
  </w:abstractNum>
  <w:abstractNum w:abstractNumId="88">
    <w:nsid w:val="1D9F6E5F"/>
    <w:multiLevelType w:val="hybridMultilevel"/>
    <w:lvl w:ilvl="0">
      <w:lvlJc w:val="left"/>
      <w:lvlText w:val="%1."/>
      <w:numFmt w:val="upperLetter"/>
      <w:start w:val="2"/>
    </w:lvl>
  </w:abstractNum>
  <w:abstractNum w:abstractNumId="89">
    <w:nsid w:val="97E1B4E"/>
    <w:multiLevelType w:val="hybridMultilevel"/>
    <w:lvl w:ilvl="0">
      <w:lvlJc w:val="left"/>
      <w:lvlText w:val="%1."/>
      <w:numFmt w:val="upperLetter"/>
      <w:start w:val="3"/>
    </w:lvl>
  </w:abstractNum>
  <w:abstractNum w:abstractNumId="90">
    <w:nsid w:val="51088277"/>
    <w:multiLevelType w:val="hybridMultilevel"/>
    <w:lvl w:ilvl="0">
      <w:lvlJc w:val="left"/>
      <w:lvlText w:val="%1."/>
      <w:numFmt w:val="upperLetter"/>
      <w:start w:val="4"/>
    </w:lvl>
  </w:abstractNum>
  <w:abstractNum w:abstractNumId="91">
    <w:nsid w:val="1CA0C5FA"/>
    <w:multiLevelType w:val="hybridMultilevel"/>
    <w:lvl w:ilvl="0">
      <w:lvlJc w:val="left"/>
      <w:lvlText w:val="%1."/>
      <w:numFmt w:val="upperLetter"/>
      <w:start w:val="5"/>
    </w:lvl>
  </w:abstractNum>
  <w:abstractNum w:abstractNumId="92">
    <w:nsid w:val="53584BCB"/>
    <w:multiLevelType w:val="hybridMultilevel"/>
    <w:lvl w:ilvl="0">
      <w:lvlJc w:val="left"/>
      <w:lvlText w:val="%1."/>
      <w:numFmt w:val="upperLetter"/>
      <w:start w:val="6"/>
    </w:lvl>
  </w:abstractNum>
  <w:abstractNum w:abstractNumId="93">
    <w:nsid w:val="415E286C"/>
    <w:multiLevelType w:val="hybridMultilevel"/>
    <w:lvl w:ilvl="0">
      <w:lvlJc w:val="left"/>
      <w:lvlText w:val="%1."/>
      <w:numFmt w:val="upperLetter"/>
      <w:start w:val="1"/>
    </w:lvl>
  </w:abstractNum>
  <w:abstractNum w:abstractNumId="94">
    <w:nsid w:val="7C58FD05"/>
    <w:multiLevelType w:val="hybridMultilevel"/>
    <w:lvl w:ilvl="0">
      <w:lvlJc w:val="left"/>
      <w:lvlText w:val="%1."/>
      <w:numFmt w:val="upperLetter"/>
      <w:start w:val="2"/>
    </w:lvl>
  </w:abstractNum>
  <w:abstractNum w:abstractNumId="95">
    <w:nsid w:val="23D86AAC"/>
    <w:multiLevelType w:val="hybridMultilevel"/>
    <w:lvl w:ilvl="0">
      <w:lvlJc w:val="left"/>
      <w:lvlText w:val="·"/>
      <w:numFmt w:val="bullet"/>
      <w:start w:val="1"/>
    </w:lvl>
  </w:abstractNum>
  <w:abstractNum w:abstractNumId="96">
    <w:nsid w:val="45E6D486"/>
    <w:multiLevelType w:val="hybridMultilevel"/>
    <w:lvl w:ilvl="0">
      <w:lvlJc w:val="left"/>
      <w:lvlText w:val="·"/>
      <w:numFmt w:val="bullet"/>
      <w:start w:val="1"/>
    </w:lvl>
  </w:abstractNum>
  <w:abstractNum w:abstractNumId="97">
    <w:nsid w:val="5C10FE21"/>
    <w:multiLevelType w:val="hybridMultilevel"/>
    <w:lvl w:ilvl="0">
      <w:lvlJc w:val="left"/>
      <w:lvlText w:val="·"/>
      <w:numFmt w:val="bullet"/>
      <w:start w:val="1"/>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
      <w:numFmt w:val="bullet"/>
      <w:start w:val="1"/>
    </w:lvl>
  </w:abstractNum>
  <w:abstractNum w:abstractNumId="100">
    <w:nsid w:val="4BD8591A"/>
    <w:multiLevelType w:val="hybridMultilevel"/>
    <w:lvl w:ilvl="0">
      <w:lvlJc w:val="left"/>
      <w:lvlText w:val="·"/>
      <w:numFmt w:val="bullet"/>
      <w:start w:val="1"/>
    </w:lvl>
  </w:abstractNum>
  <w:abstractNum w:abstractNumId="101">
    <w:nsid w:val="78DF6A55"/>
    <w:multiLevelType w:val="hybridMultilevel"/>
    <w:lvl w:ilvl="0">
      <w:lvlJc w:val="left"/>
      <w:lvlText w:val="·"/>
      <w:numFmt w:val="bullet"/>
      <w:start w:val="1"/>
    </w:lvl>
  </w:abstractNum>
  <w:abstractNum w:abstractNumId="102">
    <w:nsid w:val="39B7AAA2"/>
    <w:multiLevelType w:val="hybridMultilevel"/>
    <w:lvl w:ilvl="0">
      <w:lvlJc w:val="left"/>
      <w:lvlText w:val="·"/>
      <w:numFmt w:val="bullet"/>
      <w:start w:val="1"/>
    </w:lvl>
  </w:abstractNum>
  <w:abstractNum w:abstractNumId="103">
    <w:nsid w:val="2B0D8DBE"/>
    <w:multiLevelType w:val="hybridMultilevel"/>
    <w:lvl w:ilvl="0">
      <w:lvlJc w:val="left"/>
      <w:lvlText w:val="%1."/>
      <w:numFmt w:val="upperLetter"/>
      <w:start w:val="3"/>
    </w:lvl>
  </w:abstractNum>
  <w:abstractNum w:abstractNumId="104">
    <w:nsid w:val="6C80EC70"/>
    <w:multiLevelType w:val="hybridMultilevel"/>
    <w:lvl w:ilvl="0">
      <w:lvlJc w:val="left"/>
      <w:lvlText w:val="%1."/>
      <w:numFmt w:val="upperLetter"/>
      <w:start w:val="4"/>
    </w:lvl>
  </w:abstractNum>
  <w:abstractNum w:abstractNumId="105">
    <w:nsid w:val="379E21B5"/>
    <w:multiLevelType w:val="hybridMultilevel"/>
    <w:lvl w:ilvl="0">
      <w:lvlJc w:val="left"/>
      <w:lvlText w:val="%1."/>
      <w:numFmt w:val="upperLetter"/>
      <w:start w:val="5"/>
    </w:lvl>
  </w:abstractNum>
  <w:abstractNum w:abstractNumId="106">
    <w:nsid w:val="69E373"/>
    <w:multiLevelType w:val="hybridMultilevel"/>
    <w:lvl w:ilvl="0">
      <w:lvlJc w:val="left"/>
      <w:lvlText w:val="·"/>
      <w:numFmt w:val="bullet"/>
      <w:start w:val="1"/>
    </w:lvl>
  </w:abstractNum>
  <w:abstractNum w:abstractNumId="107">
    <w:nsid w:val="2C27173B"/>
    <w:multiLevelType w:val="hybridMultilevel"/>
    <w:lvl w:ilvl="0">
      <w:lvlJc w:val="left"/>
      <w:lvlText w:val="%1."/>
      <w:numFmt w:val="upperLetter"/>
      <w:start w:val="6"/>
    </w:lvl>
  </w:abstractNum>
  <w:abstractNum w:abstractNumId="108">
    <w:nsid w:val="4C9B0904"/>
    <w:multiLevelType w:val="hybridMultilevel"/>
    <w:lvl w:ilvl="0">
      <w:lvlJc w:val="left"/>
      <w:lvlText w:val="%1."/>
      <w:numFmt w:val="upperLetter"/>
      <w:start w:val="9"/>
    </w:lvl>
  </w:abstractNum>
  <w:abstractNum w:abstractNumId="109">
    <w:nsid w:val="6AA7B75C"/>
    <w:multiLevelType w:val="hybridMultilevel"/>
    <w:lvl w:ilvl="0">
      <w:lvlJc w:val="left"/>
      <w:lvlText w:val="%1."/>
      <w:numFmt w:val="upperLetter"/>
      <w:start w:val="1"/>
    </w:lvl>
  </w:abstractNum>
  <w:abstractNum w:abstractNumId="110">
    <w:nsid w:val="1DF029D3"/>
    <w:multiLevelType w:val="hybridMultilevel"/>
    <w:lvl w:ilvl="0">
      <w:lvlJc w:val="left"/>
      <w:lvlText w:val="·"/>
      <w:numFmt w:val="bullet"/>
      <w:start w:val="1"/>
    </w:lvl>
  </w:abstractNum>
  <w:abstractNum w:abstractNumId="111">
    <w:nsid w:val="5675FF36"/>
    <w:multiLevelType w:val="hybridMultilevel"/>
    <w:lvl w:ilvl="0">
      <w:lvlJc w:val="left"/>
      <w:lvlText w:val="·"/>
      <w:numFmt w:val="bullet"/>
      <w:start w:val="1"/>
    </w:lvl>
  </w:abstractNum>
  <w:abstractNum w:abstractNumId="112">
    <w:nsid w:val="3DD15094"/>
    <w:multiLevelType w:val="hybridMultilevel"/>
    <w:lvl w:ilvl="0">
      <w:lvlJc w:val="left"/>
      <w:lvlText w:val="(%1)"/>
      <w:numFmt w:val="lowerRoman"/>
      <w:start w:val="2"/>
    </w:lvl>
  </w:abstractNum>
  <w:abstractNum w:abstractNumId="113">
    <w:nsid w:val="3DB012B3"/>
    <w:multiLevelType w:val="hybridMultilevel"/>
    <w:lvl w:ilvl="0">
      <w:lvlJc w:val="left"/>
      <w:lvlText w:val="(%1)"/>
      <w:numFmt w:val="decimal"/>
      <w:start w:val="1"/>
    </w:lvl>
  </w:abstractNum>
  <w:abstractNum w:abstractNumId="114">
    <w:nsid w:val="2708C9AF"/>
    <w:multiLevelType w:val="hybridMultilevel"/>
    <w:lvl w:ilvl="0">
      <w:lvlJc w:val="left"/>
      <w:lvlText w:val="·"/>
      <w:numFmt w:val="bullet"/>
      <w:start w:val="1"/>
    </w:lvl>
  </w:abstractNum>
  <w:abstractNum w:abstractNumId="115">
    <w:nsid w:val="5B25ACE2"/>
    <w:multiLevelType w:val="hybridMultilevel"/>
    <w:lvl w:ilvl="0">
      <w:lvlJc w:val="left"/>
      <w:lvlText w:val="·"/>
      <w:numFmt w:val="bullet"/>
      <w:start w:val="1"/>
    </w:lvl>
  </w:abstractNum>
  <w:abstractNum w:abstractNumId="116">
    <w:nsid w:val="175DFCF0"/>
    <w:multiLevelType w:val="hybridMultilevel"/>
    <w:lvl w:ilvl="0">
      <w:lvlJc w:val="left"/>
      <w:lvlText w:val="*"/>
      <w:numFmt w:val="bullet"/>
      <w:start w:val="1"/>
    </w:lvl>
  </w:abstractNum>
  <w:abstractNum w:abstractNumId="117">
    <w:nsid w:val="4F97E3E4"/>
    <w:multiLevelType w:val="hybridMultilevel"/>
    <w:lvl w:ilvl="0">
      <w:lvlJc w:val="left"/>
      <w:lvlText w:val="·"/>
      <w:numFmt w:val="bullet"/>
      <w:start w:val="1"/>
    </w:lvl>
  </w:abstractNum>
  <w:abstractNum w:abstractNumId="118">
    <w:nsid w:val="53B0A9E"/>
    <w:multiLevelType w:val="hybridMultilevel"/>
    <w:lvl w:ilvl="0">
      <w:lvlJc w:val="left"/>
      <w:lvlText w:val="*"/>
      <w:numFmt w:val="bullet"/>
      <w:start w:val="1"/>
    </w:lvl>
  </w:abstractNum>
  <w:abstractNum w:abstractNumId="119">
    <w:nsid w:val="34FD6B4F"/>
    <w:multiLevelType w:val="hybridMultilevel"/>
    <w:lvl w:ilvl="0">
      <w:lvlJc w:val="left"/>
      <w:lvlText w:val="*"/>
      <w:numFmt w:val="bullet"/>
      <w:start w:val="1"/>
    </w:lvl>
  </w:abstractNum>
  <w:abstractNum w:abstractNumId="120">
    <w:nsid w:val="5915FF32"/>
    <w:multiLevelType w:val="hybridMultilevel"/>
    <w:lvl w:ilvl="0">
      <w:lvlJc w:val="left"/>
      <w:lvlText w:val="**"/>
      <w:numFmt w:val="bullet"/>
      <w:start w:val="1"/>
    </w:lvl>
  </w:abstractNum>
  <w:abstractNum w:abstractNumId="121">
    <w:nsid w:val="56438D15"/>
    <w:multiLevelType w:val="hybridMultilevel"/>
    <w:lvl w:ilvl="0">
      <w:lvlJc w:val="left"/>
      <w:lvlText w:val="(%1)"/>
      <w:numFmt w:val="decimal"/>
      <w:start w:val="1"/>
    </w:lvl>
  </w:abstractNum>
  <w:abstractNum w:abstractNumId="122">
    <w:nsid w:val="519E3149"/>
    <w:multiLevelType w:val="hybridMultilevel"/>
    <w:lvl w:ilvl="0">
      <w:lvlJc w:val="left"/>
      <w:lvlText w:val="(%1)"/>
      <w:numFmt w:val="decimal"/>
      <w:start w:val="1"/>
    </w:lvl>
  </w:abstractNum>
  <w:abstractNum w:abstractNumId="123">
    <w:nsid w:val="2C6E4AFD"/>
    <w:multiLevelType w:val="hybridMultilevel"/>
    <w:lvl w:ilvl="0">
      <w:lvlJc w:val="left"/>
      <w:lvlText w:val="(%1)"/>
      <w:numFmt w:val="decimal"/>
      <w:start w:val="3"/>
    </w:lvl>
  </w:abstractNum>
  <w:abstractNum w:abstractNumId="124">
    <w:nsid w:val="17A1B582"/>
    <w:multiLevelType w:val="hybridMultilevel"/>
    <w:lvl w:ilvl="0">
      <w:lvlJc w:val="left"/>
      <w:lvlText w:val="*"/>
      <w:numFmt w:val="bullet"/>
      <w:start w:val="1"/>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172" Type="http://schemas.openxmlformats.org/officeDocument/2006/relationships/hyperlink" Target="http://www.sec.gov/Archives/edgar/data/1595761/000119312514124183/d652805dex32.htm" TargetMode="External"/><Relationship Id="rId173" Type="http://schemas.openxmlformats.org/officeDocument/2006/relationships/hyperlink" Target="http://www.sec.gov/Archives/edgar/data/1595761/000119312514358192/d797407dex43.htm" TargetMode="External"/><Relationship Id="rId174" Type="http://schemas.openxmlformats.org/officeDocument/2006/relationships/hyperlink" Target="http://www.sec.gov/Archives/edgar/data/1595761/000119312514141528/d652805dex42.htm" TargetMode="External"/><Relationship Id="rId175" Type="http://schemas.openxmlformats.org/officeDocument/2006/relationships/hyperlink" Target="http://www.sec.gov/Archives/edgar/data/1595761/000110465918026820/a17-27940_1ex2d4.htm" TargetMode="External"/><Relationship Id="rId176" Type="http://schemas.openxmlformats.org/officeDocument/2006/relationships/hyperlink" Target="http://www.sec.gov/Archives/edgar/data/1595761/000119312514100237/d652805dex101.htm" TargetMode="External"/><Relationship Id="rId177" Type="http://schemas.openxmlformats.org/officeDocument/2006/relationships/hyperlink" Target="http://www.sec.gov/Archives/edgar/data/1595761/000119312514124183/d652805dex102.htm" TargetMode="External"/><Relationship Id="rId178" Type="http://schemas.openxmlformats.org/officeDocument/2006/relationships/hyperlink" Target="http://www.sec.gov/Archives/edgar/data/1595761/000119312514100237/d652805dex103.htm" TargetMode="External"/><Relationship Id="rId179" Type="http://schemas.openxmlformats.org/officeDocument/2006/relationships/hyperlink" Target="http://www.sec.gov/Archives/edgar/data/1595761/000119312514124183/d652805dex104.htm" TargetMode="External"/><Relationship Id="rId180" Type="http://schemas.openxmlformats.org/officeDocument/2006/relationships/hyperlink" Target="http://www.sec.gov/Archives/edgar/data/1595761/000119312514100237/d652805dex105.htm" TargetMode="External"/><Relationship Id="rId183" Type="http://schemas.openxmlformats.org/officeDocument/2006/relationships/hyperlink" Target="http://www.sec.gov/Archives/edgar/data/1595761/000119312514100237/d652805dex106.htm" TargetMode="External"/><Relationship Id="rId184" Type="http://schemas.openxmlformats.org/officeDocument/2006/relationships/hyperlink" Target="http://www.sec.gov/Archives/edgar/data/1595761/000119312514100237/d652805dex107.htm" TargetMode="External"/><Relationship Id="rId185" Type="http://schemas.openxmlformats.org/officeDocument/2006/relationships/hyperlink" Target="http://www.sec.gov/Archives/edgar/data/1595761/000119312514100237/d652805dex108.htm" TargetMode="External"/><Relationship Id="rId186" Type="http://schemas.openxmlformats.org/officeDocument/2006/relationships/hyperlink" Target="http://www.sec.gov/Archives/edgar/data/1595761/000119312514100237/d652805dex109.htm" TargetMode="External"/><Relationship Id="rId187" Type="http://schemas.openxmlformats.org/officeDocument/2006/relationships/hyperlink" Target="http://www.sec.gov/Archives/edgar/data/1595761/000119312514100237/d652805dex1010.htm" TargetMode="External"/><Relationship Id="rId188" Type="http://schemas.openxmlformats.org/officeDocument/2006/relationships/hyperlink" Target="http://www.sec.gov/Archives/edgar/data/1595761/000119312514141528/d652805dex1011.htm" TargetMode="External"/><Relationship Id="rId189" Type="http://schemas.openxmlformats.org/officeDocument/2006/relationships/hyperlink" Target="http://www.sec.gov/Archives/edgar/data/1595761/000110465915030982/a15-2240_1ex4d12.htm" TargetMode="External"/><Relationship Id="rId190" Type="http://schemas.openxmlformats.org/officeDocument/2006/relationships/hyperlink" Target="http://www.sec.gov/Archives/edgar/data/1595761/000119312514100237/d652805dex1013.htm" TargetMode="External"/><Relationship Id="rId191" Type="http://schemas.openxmlformats.org/officeDocument/2006/relationships/hyperlink" Target="http://www.sec.gov/Archives/edgar/data/1595761/000110465918026820/a17-27940_1ex4d14.htm" TargetMode="External"/><Relationship Id="rId192" Type="http://schemas.openxmlformats.org/officeDocument/2006/relationships/hyperlink" Target="http://www.sec.gov/Archives/edgar/data/1595761/000110465918026820/a17-27940_1ex4d15.htm" TargetMode="External"/><Relationship Id="rId193" Type="http://schemas.openxmlformats.org/officeDocument/2006/relationships/hyperlink" Target="http://www.sec.gov/Archives/edgar/data/1595761/000110465918026820/a17-27940_1ex4d16.htm" TargetMode="External"/><Relationship Id="rId194" Type="http://schemas.openxmlformats.org/officeDocument/2006/relationships/hyperlink" Target="http://www.sec.gov/Archives/edgar/data/1595761/000110465918026820/a17-27940_1ex4d17.htm" TargetMode="External"/><Relationship Id="rId197" Type="http://schemas.openxmlformats.org/officeDocument/2006/relationships/hyperlink" Target="http://www.sec.gov/Archives/edgar/data/1595761/000110465918026820/a17-27940_1ex4d18.htm" TargetMode="External"/><Relationship Id="rId198" Type="http://schemas.openxmlformats.org/officeDocument/2006/relationships/hyperlink" Target="http://www.sec.gov/Archives/edgar/data/1595761/000119312514100237/d652805dex1019.htm" TargetMode="External"/><Relationship Id="rId199" Type="http://schemas.openxmlformats.org/officeDocument/2006/relationships/hyperlink" Target="http://www.sec.gov/Archives/edgar/data/1595761/000119312514100237/d652805dex1020.htm" TargetMode="External"/><Relationship Id="rId200" Type="http://schemas.openxmlformats.org/officeDocument/2006/relationships/hyperlink" Target="http://www.sec.gov/Archives/edgar/data/1595761/000119312514100237/d652805dex1021.htm" TargetMode="External"/><Relationship Id="rId201" Type="http://schemas.openxmlformats.org/officeDocument/2006/relationships/hyperlink" Target="file:///data/convert/a18-41107_1ex8d1.htm#Exhibit8_1_021752" TargetMode="External"/><Relationship Id="rId202" Type="http://schemas.openxmlformats.org/officeDocument/2006/relationships/hyperlink" Target="http://www.sec.gov/Archives/edgar/data/1595761/000119312514100237/d652805dex991.htm" TargetMode="External"/><Relationship Id="rId203" Type="http://schemas.openxmlformats.org/officeDocument/2006/relationships/hyperlink" Target="file:///data/convert/a18-41107_1ex12d1.htm#Exhibit12_1_021942" TargetMode="External"/><Relationship Id="rId204" Type="http://schemas.openxmlformats.org/officeDocument/2006/relationships/hyperlink" Target="file:///data/convert/a18-41107_1ex12d2.htm#Exhibit12_2_022143" TargetMode="External"/><Relationship Id="rId205" Type="http://schemas.openxmlformats.org/officeDocument/2006/relationships/hyperlink" Target="file:///data/convert/a18-41107_1ex13d1.htm#EXHIBIT13_1_022331" TargetMode="External"/><Relationship Id="rId206" Type="http://schemas.openxmlformats.org/officeDocument/2006/relationships/hyperlink" Target="file:///data/convert/a18-41107_1ex13d2.htm#EXHIBIT13_2_022433" TargetMode="External"/><Relationship Id="rId207" Type="http://schemas.openxmlformats.org/officeDocument/2006/relationships/hyperlink" Target="file:///data/convert/a18-41107_1ex15d1.htm#Exhibit15_1_022540" TargetMode="External"/><Relationship Id="rId208" Type="http://schemas.openxmlformats.org/officeDocument/2006/relationships/hyperlink" Target="file:///data/convert/a18-41107_1ex15d2.htm#Exhibit15_2_022709" TargetMode="External"/><Relationship Id="rId209" Type="http://schemas.openxmlformats.org/officeDocument/2006/relationships/hyperlink" Target="file:///data/convert/a18-41107_1ex15d3.htm#Exhibit15_3_0228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2019-12-03T02:50:25Z</dcterms:created>
  <dcterms:modified xsi:type="dcterms:W3CDTF">2019-12-03T02:50:25Z</dcterms:modified>
</cp:coreProperties>
</file>